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 w:line="240" w:lineRule="auto"/>
        <w:ind w:left="0" w:right="-14" w:firstLine="0"/>
        <w:jc w:val="center"/>
        <w:rPr>
          <w:rFonts w:ascii="Times New Roman" w:cs="Times New Roman" w:eastAsia="Times New Roman" w:hAnsi="Times New Roman"/>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4"/>
          <w:szCs w:val="24"/>
          <w:highlight w:val="white"/>
          <w:u w:val="none"/>
          <w:vertAlign w:val="baseline"/>
          <w:rtl w:val="0"/>
        </w:rPr>
        <w:t xml:space="preserve">Especialización en Ciencias Humanas. Opción Educación rural</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 w:line="240" w:lineRule="auto"/>
        <w:ind w:left="0" w:right="-14" w:firstLine="0"/>
        <w:jc w:val="center"/>
        <w:rPr>
          <w:rFonts w:ascii="Times New Roman" w:cs="Times New Roman" w:eastAsia="Times New Roman" w:hAnsi="Times New Roman"/>
          <w:i w:val="0"/>
          <w:iCs w:val="0"/>
          <w:smallCaps w:val="0"/>
          <w:strike w:val="0"/>
          <w:color w:val="00000a"/>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4"/>
          <w:szCs w:val="24"/>
          <w:highlight w:val="white"/>
          <w:u w:val="none"/>
          <w:vertAlign w:val="baseline"/>
          <w:rtl w:val="0"/>
        </w:rPr>
        <w:t xml:space="preserve">Año 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 w:line="240" w:lineRule="auto"/>
        <w:ind w:left="0" w:right="-14" w:firstLine="0"/>
        <w:jc w:val="center"/>
        <w:rPr>
          <w:rFonts w:ascii="Times New Roman" w:cs="Times New Roman" w:eastAsia="Times New Roman" w:hAnsi="Times New Roman"/>
          <w:i w:val="0"/>
          <w:iCs w:val="0"/>
          <w:smallCaps w:val="0"/>
          <w:strike w:val="0"/>
          <w:color w:val="00000a"/>
          <w:sz w:val="24"/>
          <w:szCs w:val="24"/>
          <w:highlight w:val="white"/>
          <w:u w:val="single"/>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4"/>
          <w:szCs w:val="24"/>
          <w:highlight w:val="white"/>
          <w:u w:val="single"/>
          <w:vertAlign w:val="baseline"/>
          <w:rtl w:val="0"/>
        </w:rPr>
        <w:t xml:space="preserve">Programa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 w:line="240" w:lineRule="auto"/>
        <w:ind w:left="0" w:right="-14" w:firstLine="0"/>
        <w:jc w:val="center"/>
        <w:rPr>
          <w:rFonts w:ascii="Times New Roman" w:cs="Times New Roman" w:eastAsia="Times New Roman" w:hAnsi="Times New Roman"/>
          <w:i w:val="0"/>
          <w:iCs w:val="0"/>
          <w:smallCaps w:val="0"/>
          <w:strike w:val="0"/>
          <w:color w:val="00000a"/>
          <w:sz w:val="36"/>
          <w:szCs w:val="36"/>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highlight w:val="white"/>
          <w:u w:val="none"/>
          <w:vertAlign w:val="baseline"/>
          <w:rtl w:val="0"/>
        </w:rPr>
        <w:t xml:space="preserve">Pedagogía </w:t>
      </w:r>
      <w:r w:rsidDel="00000000" w:rsidR="00000000" w:rsidRPr="00000000">
        <w:rPr>
          <w:rFonts w:ascii="Times New Roman" w:cs="Times New Roman" w:eastAsia="Times New Roman" w:hAnsi="Times New Roman"/>
          <w:b w:val="1"/>
          <w:bCs w:val="1"/>
          <w:sz w:val="36"/>
          <w:szCs w:val="36"/>
          <w:highlight w:val="white"/>
          <w:rtl w:val="0"/>
        </w:rPr>
        <w:t xml:space="preserve">r</w:t>
      </w:r>
      <w:r w:rsidDel="00000000" w:rsidR="00000000" w:rsidRPr="00000000">
        <w:rPr>
          <w:rFonts w:ascii="Times New Roman" w:cs="Times New Roman" w:eastAsia="Times New Roman" w:hAnsi="Times New Roman"/>
          <w:b w:val="1"/>
          <w:bCs w:val="1"/>
          <w:i w:val="0"/>
          <w:iCs w:val="0"/>
          <w:smallCaps w:val="0"/>
          <w:strike w:val="0"/>
          <w:color w:val="000000"/>
          <w:sz w:val="36"/>
          <w:szCs w:val="36"/>
          <w:highlight w:val="white"/>
          <w:u w:val="none"/>
          <w:vertAlign w:val="baseline"/>
          <w:rtl w:val="0"/>
        </w:rPr>
        <w:t xml:space="preserve">ural y </w:t>
      </w:r>
      <w:r w:rsidDel="00000000" w:rsidR="00000000" w:rsidRPr="00000000">
        <w:rPr>
          <w:rFonts w:ascii="Times New Roman" w:cs="Times New Roman" w:eastAsia="Times New Roman" w:hAnsi="Times New Roman"/>
          <w:b w:val="1"/>
          <w:bCs w:val="1"/>
          <w:sz w:val="36"/>
          <w:szCs w:val="36"/>
          <w:highlight w:val="white"/>
          <w:rtl w:val="0"/>
        </w:rPr>
        <w:t xml:space="preserve">d</w:t>
      </w:r>
      <w:r w:rsidDel="00000000" w:rsidR="00000000" w:rsidRPr="00000000">
        <w:rPr>
          <w:rFonts w:ascii="Times New Roman" w:cs="Times New Roman" w:eastAsia="Times New Roman" w:hAnsi="Times New Roman"/>
          <w:b w:val="1"/>
          <w:bCs w:val="1"/>
          <w:i w:val="0"/>
          <w:iCs w:val="0"/>
          <w:smallCaps w:val="0"/>
          <w:strike w:val="0"/>
          <w:color w:val="000000"/>
          <w:sz w:val="36"/>
          <w:szCs w:val="36"/>
          <w:highlight w:val="white"/>
          <w:u w:val="none"/>
          <w:vertAlign w:val="baseline"/>
          <w:rtl w:val="0"/>
        </w:rPr>
        <w:t xml:space="preserve">idáctica </w:t>
      </w:r>
      <w:r w:rsidDel="00000000" w:rsidR="00000000" w:rsidRPr="00000000">
        <w:rPr>
          <w:rFonts w:ascii="Times New Roman" w:cs="Times New Roman" w:eastAsia="Times New Roman" w:hAnsi="Times New Roman"/>
          <w:b w:val="1"/>
          <w:bCs w:val="1"/>
          <w:sz w:val="36"/>
          <w:szCs w:val="36"/>
          <w:highlight w:val="white"/>
          <w:rtl w:val="0"/>
        </w:rPr>
        <w:t xml:space="preserve">m</w:t>
      </w:r>
      <w:r w:rsidDel="00000000" w:rsidR="00000000" w:rsidRPr="00000000">
        <w:rPr>
          <w:rFonts w:ascii="Times New Roman" w:cs="Times New Roman" w:eastAsia="Times New Roman" w:hAnsi="Times New Roman"/>
          <w:b w:val="1"/>
          <w:bCs w:val="1"/>
          <w:i w:val="0"/>
          <w:iCs w:val="0"/>
          <w:smallCaps w:val="0"/>
          <w:strike w:val="0"/>
          <w:color w:val="000000"/>
          <w:sz w:val="36"/>
          <w:szCs w:val="36"/>
          <w:highlight w:val="white"/>
          <w:u w:val="none"/>
          <w:vertAlign w:val="baseline"/>
          <w:rtl w:val="0"/>
        </w:rPr>
        <w:t xml:space="preserve">ultigrado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Equipo docente: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Limber Santos FHCE-Udelar (Responsable)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Fernando Pesce, FCIEN- Udelar</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Pablo Díaz, CENUR Noreste-Udelar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Profesores invitados: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M</w:t>
      </w:r>
      <w:r w:rsidDel="00000000" w:rsidR="00000000" w:rsidRPr="00000000">
        <w:rPr>
          <w:rFonts w:ascii="Times New Roman" w:cs="Times New Roman" w:eastAsia="Times New Roman" w:hAnsi="Times New Roman"/>
          <w:sz w:val="24"/>
          <w:szCs w:val="24"/>
          <w:rtl w:val="0"/>
        </w:rPr>
        <w:t xml:space="preserve">ag.</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Gabriela Varela</w:t>
      </w:r>
      <w:r w:rsidDel="00000000" w:rsidR="00000000" w:rsidRPr="00000000">
        <w:rPr>
          <w:rFonts w:ascii="Times New Roman" w:cs="Times New Roman" w:eastAsia="Times New Roman" w:hAnsi="Times New Roman"/>
          <w:sz w:val="24"/>
          <w:szCs w:val="24"/>
          <w:rtl w:val="0"/>
        </w:rPr>
        <w:t xml:space="preserve">. Lic. Carla Custodio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Módulo</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III Obligatorio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Modalidad</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presencial, multisede.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Créditos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Asistencia obligatoria: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70%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Horarios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Viernes de 18 a 21 hs. Sábados de 9 a 12 hs. y de 14 a 17 hs.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Cronograma: 10 de abril- 5 de junio de 2026</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Presentación</w:t>
      </w:r>
      <w:r w:rsidDel="00000000" w:rsidR="00000000" w:rsidRPr="00000000">
        <w:rPr>
          <w:rtl w:val="0"/>
        </w:rPr>
      </w:r>
    </w:p>
    <w:p w:rsidR="00000000" w:rsidDel="00000000" w:rsidP="00000000" w:rsidRDefault="00000000" w:rsidRPr="00000000" w14:paraId="00000017">
      <w:pPr>
        <w:widowControl w:val="0"/>
        <w:spacing w:before="191.9189453125" w:line="275.4452133178711" w:lineRule="auto"/>
        <w:ind w:right="-14.527559055116512"/>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En este Módulo III se recupera la acumulación teórica del Instituto de Educación de FHCE en el ámbito del magisterio rural y la didáctica multigrado para analizar prácticas educativas formales y no formales en el medio rural desde una perspectiva disciplinar específicamente pedagógica, pero abierta a los aportes de otros campos disciplinares. </w:t>
      </w:r>
    </w:p>
    <w:p w:rsidR="00000000" w:rsidDel="00000000" w:rsidP="00000000" w:rsidRDefault="00000000" w:rsidRPr="00000000" w14:paraId="00000018">
      <w:pPr>
        <w:widowControl w:val="0"/>
        <w:spacing w:before="191.9189453125" w:line="275.4452133178711" w:lineRule="auto"/>
        <w:ind w:right="-14.527559055116512"/>
        <w:jc w:val="both"/>
        <w:rPr>
          <w:rFonts w:ascii="Times New Roman" w:cs="Times New Roman" w:eastAsia="Times New Roman" w:hAnsi="Times New Roman"/>
          <w:color w:val="00000a"/>
          <w:sz w:val="24"/>
          <w:szCs w:val="24"/>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En un primer bloque de contenidos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se aborda la </w:t>
      </w:r>
      <w:r w:rsidDel="00000000" w:rsidR="00000000" w:rsidRPr="00000000">
        <w:rPr>
          <w:rFonts w:ascii="Times New Roman" w:cs="Times New Roman" w:eastAsia="Times New Roman" w:hAnsi="Times New Roman"/>
          <w:sz w:val="24"/>
          <w:szCs w:val="24"/>
          <w:rtl w:val="0"/>
        </w:rPr>
        <w:t xml:space="preserve">dimensión</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didáctica presente en la pedagogía rural uruguaya en cuatro niveles:  la enseñanza en medios rurales en los autores clásicos (Jesualdo, Ferreiro, Castro), la enseñanza en las maestras en la segunda mitad del siglo XX, la didáctica multigrado de principios del siglo XXI y la didáctica de la diversidad actual.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un segundo bloque </w:t>
      </w:r>
      <w:r w:rsidDel="00000000" w:rsidR="00000000" w:rsidRPr="00000000">
        <w:rPr>
          <w:rFonts w:ascii="Times New Roman" w:cs="Times New Roman" w:eastAsia="Times New Roman" w:hAnsi="Times New Roman"/>
          <w:sz w:val="24"/>
          <w:szCs w:val="24"/>
          <w:highlight w:val="white"/>
          <w:rtl w:val="0"/>
        </w:rPr>
        <w:t xml:space="preserve">se proporcionarán contenidos, metodologías y técnicas para sensibilizar y fundamentar la dimensión socio- ambiental de la pedagogía y la incorporación de la educación ambiental como eje estructurante de proyectos de enseñanza situados.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particular, se analizarán los fundamentos teóricos y prácticos subyacentes en la enseñanza de las ciencias sociales a partir de la reflexión en torno al abordaje didáctico de las categorías específicas a este encuentro de saberes: Naturaleza, Sociedad, Economía, Espacio y Tiempo. Se propondrán herramientas didácticas para una renovación paradigmática de los contenidos y metodologías de enseñanza desde el paradigma de la sustentabilidad.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color w:val="0000ff"/>
          <w:sz w:val="24"/>
          <w:szCs w:val="24"/>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El objetivo del curso es reconocer y analizar las maneras de enseñar y aprender en los medios rurales, en la educaci</w:t>
      </w:r>
      <w:r w:rsidDel="00000000" w:rsidR="00000000" w:rsidRPr="00000000">
        <w:rPr>
          <w:rFonts w:ascii="Times New Roman" w:cs="Times New Roman" w:eastAsia="Times New Roman" w:hAnsi="Times New Roman"/>
          <w:sz w:val="24"/>
          <w:szCs w:val="24"/>
          <w:rtl w:val="0"/>
        </w:rPr>
        <w:t xml:space="preserve">ón ambiental</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y sus deriv</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 a lo largo del tiempo. Para ello se estudiarán producciones nacionales, de América Latina y de Europa que han influido en las prácticas de los docentes rurales uruguayos.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bCs w:val="1"/>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none"/>
          <w:shd w:fill="auto" w:val="clear"/>
          <w:vertAlign w:val="baseline"/>
          <w:rtl w:val="0"/>
        </w:rPr>
        <w:t xml:space="preserve">Contenidos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Primer Bloque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 enseñanza en los clásicos de la pedagogía rural uruguaya</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Agustín Ferreiro y la enseñanza en una escuela adaptada al medio rural y su vida cotidiana.</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Jesualdo Sosa y las prácticas superadoras del escolanovismo en Canteras del Riachuelo.</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Julio Castro y la mesa colectiva como horizonte de la enseñanza rural.</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 materialidad de la enseñanza en el contexto de generación de la pedagogía rural uruguaya.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obligatoria</w:t>
      </w:r>
      <w:r w:rsidDel="00000000" w:rsidR="00000000" w:rsidRPr="00000000">
        <w:rPr>
          <w:rtl w:val="0"/>
        </w:rPr>
      </w:r>
    </w:p>
    <w:p w:rsidR="00000000" w:rsidDel="00000000" w:rsidP="00000000" w:rsidRDefault="00000000" w:rsidRPr="00000000" w14:paraId="00000030">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Ferreiro, A. (2010) La enseñanza primaria en el medio rural </w:t>
        <w:tab/>
        <w:t xml:space="preserve">(quinta edición). MRE, CEIP, CETP.</w:t>
        <w:br w:type="textWrapping"/>
        <w:t xml:space="preserve">Castro, J. (1942) El </w:t>
        <w:tab/>
        <w:t xml:space="preserve">banco fijo y la mesa colectiva. Talleres Gráficos 33.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https://anaforas.fic.edu.uy/jspui/bitstream/123456789/52123/1/ebfmc.pdf</w:t>
        </w:r>
      </w:hyperlink>
      <w:r w:rsidDel="00000000" w:rsidR="00000000" w:rsidRPr="00000000">
        <w:rPr>
          <w:rtl w:val="0"/>
        </w:rPr>
      </w:r>
    </w:p>
    <w:p w:rsidR="00000000" w:rsidDel="00000000" w:rsidP="00000000" w:rsidRDefault="00000000" w:rsidRPr="00000000" w14:paraId="00000031">
      <w:pPr>
        <w:numPr>
          <w:ilvl w:val="0"/>
          <w:numId w:val="1"/>
        </w:numPr>
        <w:spacing w:after="240" w:before="0" w:beforeAutospacing="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Sosa Jesualdo (1937) Vida de un maestro. Claridad. https://anaforas.fic.edu.uy/jspui/handle/123456789/65130</w:t>
      </w:r>
    </w:p>
    <w:p w:rsidR="00000000" w:rsidDel="00000000" w:rsidP="00000000" w:rsidRDefault="00000000" w:rsidRPr="00000000" w14:paraId="00000032">
      <w:pPr>
        <w:spacing w:after="240" w:befor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after="240" w:befor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complementaria</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rtl w:val="0"/>
        </w:rPr>
        <w:t xml:space="preserve">Santos, L. (2014)  Ciencia y arte en los campos de estudio sobre educación en la pedagogía uruguaya. En Díaz, Camejo (comp.). Epistemología y educación. Universidad de la República. Montevideo. https://www.colibri.udelar.edu.uy/jspui/bitstream/20.500.12008/7586/1/epistemolog%C3%ADa_y_educaci%C3%B3n.pdf</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Santos, L. (2014) Algunas discusiones sobre el estatuto de cientificidad de la pedagogía y las ciencias de la educación. En Díaz, Camejo (comp.). Epistemología y educación. Universidad de la República. Montevideo. https://repositorio.cfe.edu.uy/handle/123456789/2721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9" w:line="271" w:lineRule="auto"/>
        <w:ind w:left="72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La enseñanza de las maestras en la segunda mitad del siglo XX</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Las maestras músicas, dibujantes y escritoras.</w:t>
      </w:r>
    </w:p>
    <w:p w:rsidR="00000000" w:rsidDel="00000000" w:rsidP="00000000" w:rsidRDefault="00000000" w:rsidRPr="00000000" w14:paraId="000000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Las maestras pedagogas.</w:t>
      </w:r>
    </w:p>
    <w:p w:rsidR="00000000" w:rsidDel="00000000" w:rsidP="00000000" w:rsidRDefault="00000000" w:rsidRPr="00000000" w14:paraId="000000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Las maestras del ICER.</w:t>
      </w:r>
    </w:p>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 maestras como reproductoras del discurso lingüístico hegemónico. Debate sobre el lugar del </w:t>
      </w:r>
      <w:r w:rsidDel="00000000" w:rsidR="00000000" w:rsidRPr="00000000">
        <w:rPr>
          <w:rFonts w:ascii="Times New Roman" w:cs="Times New Roman" w:eastAsia="Times New Roman" w:hAnsi="Times New Roman"/>
          <w:sz w:val="24"/>
          <w:szCs w:val="24"/>
          <w:highlight w:val="white"/>
          <w:rtl w:val="0"/>
        </w:rPr>
        <w:t xml:space="preserve">portuñol</w:t>
      </w:r>
      <w:r w:rsidDel="00000000" w:rsidR="00000000" w:rsidRPr="00000000">
        <w:rPr>
          <w:rFonts w:ascii="Times New Roman" w:cs="Times New Roman" w:eastAsia="Times New Roman" w:hAnsi="Times New Roman"/>
          <w:sz w:val="24"/>
          <w:szCs w:val="24"/>
          <w:highlight w:val="white"/>
          <w:rtl w:val="0"/>
        </w:rPr>
        <w:t xml:space="preserve"> en la educación.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71" w:lineRule="auto"/>
        <w:ind w:left="1080" w:right="-14"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obligatoria</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rtl w:val="0"/>
        </w:rPr>
        <w:t xml:space="preserve">Rumbo (1961-1969). Instituto Cooperativo de Educación Rural. Montevideo.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Santos, L. (2024)  Representaciones de las infancias rurales en los años cincuenta y sesenta: algunas imágenes en la revista escolar El Grillo. En Fernández, Capocasale (comp.)</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Infancias, pedagogías y saberes psi en el Uruguay de 1951 a 1984. ANEP-CFE.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complementaria</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A">
      <w:pPr>
        <w:widowControl w:val="0"/>
        <w:spacing w:after="220" w:line="271"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Barrios, G. (2015) “Política lingüística y dictadura militar en Uruguay (1973-1985): los informes institucionales sobre la situación lingüística fronteriza”. </w:t>
      </w:r>
      <w:r w:rsidDel="00000000" w:rsidR="00000000" w:rsidRPr="00000000">
        <w:rPr>
          <w:rFonts w:ascii="Times New Roman" w:cs="Times New Roman" w:eastAsia="Times New Roman" w:hAnsi="Times New Roman"/>
          <w:i w:val="1"/>
          <w:iCs w:val="1"/>
          <w:sz w:val="24"/>
          <w:szCs w:val="24"/>
          <w:highlight w:val="white"/>
          <w:rtl w:val="0"/>
        </w:rPr>
        <w:t xml:space="preserve">Estudios de lingüística del español,</w:t>
      </w:r>
      <w:r w:rsidDel="00000000" w:rsidR="00000000" w:rsidRPr="00000000">
        <w:rPr>
          <w:rFonts w:ascii="Times New Roman" w:cs="Times New Roman" w:eastAsia="Times New Roman" w:hAnsi="Times New Roman"/>
          <w:sz w:val="24"/>
          <w:szCs w:val="24"/>
          <w:highlight w:val="white"/>
          <w:rtl w:val="0"/>
        </w:rPr>
        <w:t xml:space="preserve"> 36. 527-557.</w:t>
      </w:r>
    </w:p>
    <w:p w:rsidR="00000000" w:rsidDel="00000000" w:rsidP="00000000" w:rsidRDefault="00000000" w:rsidRPr="00000000" w14:paraId="0000004B">
      <w:pPr>
        <w:widowControl w:val="0"/>
        <w:spacing w:line="271"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Custodio Marcelino, C. (2023). Portuñol: declarasaum duma dislinguada fronteriza. </w:t>
      </w:r>
      <w:r w:rsidDel="00000000" w:rsidR="00000000" w:rsidRPr="00000000">
        <w:rPr>
          <w:rFonts w:ascii="Times New Roman" w:cs="Times New Roman" w:eastAsia="Times New Roman" w:hAnsi="Times New Roman"/>
          <w:i w:val="1"/>
          <w:iCs w:val="1"/>
          <w:sz w:val="24"/>
          <w:szCs w:val="24"/>
          <w:highlight w:val="white"/>
          <w:rtl w:val="0"/>
        </w:rPr>
        <w:t xml:space="preserve">Trama</w:t>
      </w:r>
      <w:r w:rsidDel="00000000" w:rsidR="00000000" w:rsidRPr="00000000">
        <w:rPr>
          <w:rFonts w:ascii="Times New Roman" w:cs="Times New Roman" w:eastAsia="Times New Roman" w:hAnsi="Times New Roman"/>
          <w:sz w:val="24"/>
          <w:szCs w:val="24"/>
          <w:highlight w:val="white"/>
          <w:rtl w:val="0"/>
        </w:rPr>
        <w:t xml:space="preserve">, (13), 25-33. Recuperado a partir de https://www.auas.org.uy/trama/index.php/Trama/article/view/231</w:t>
      </w:r>
    </w:p>
    <w:p w:rsidR="00000000" w:rsidDel="00000000" w:rsidP="00000000" w:rsidRDefault="00000000" w:rsidRPr="00000000" w14:paraId="0000004C">
      <w:pPr>
        <w:widowControl w:val="0"/>
        <w:spacing w:line="271"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71"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González, M; Custodio, C. y Fernández, T. (2023). Las producciones de texto en contextos fronterizos de acuerdo al carácter urbano/ rural de la escuela: un estudio de caso múltiple Educación, Lenguaje y Sociedad  EISSN 2545-7667 Vol. XXII Nº 22 (Octubre 2023 ) pp. 1-24 DOI: http://dx.doi.org/10.19137/els-2023-222202</w:t>
      </w:r>
    </w:p>
    <w:p w:rsidR="00000000" w:rsidDel="00000000" w:rsidP="00000000" w:rsidRDefault="00000000" w:rsidRPr="00000000" w14:paraId="0000004E">
      <w:pPr>
        <w:widowControl w:val="0"/>
        <w:spacing w:line="271"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71"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Rodríguez, Y. y  Custodio, C. (2024). Perfil lingüístico del Uruguay: el español lengua oficial de </w:t>
      </w:r>
      <w:r w:rsidDel="00000000" w:rsidR="00000000" w:rsidRPr="00000000">
        <w:rPr>
          <w:rFonts w:ascii="Times New Roman" w:cs="Times New Roman" w:eastAsia="Times New Roman" w:hAnsi="Times New Roman"/>
          <w:i w:val="1"/>
          <w:iCs w:val="1"/>
          <w:sz w:val="24"/>
          <w:szCs w:val="24"/>
          <w:highlight w:val="white"/>
          <w:rtl w:val="0"/>
        </w:rPr>
        <w:t xml:space="preserve">facto</w:t>
      </w:r>
      <w:r w:rsidDel="00000000" w:rsidR="00000000" w:rsidRPr="00000000">
        <w:rPr>
          <w:rFonts w:ascii="Times New Roman" w:cs="Times New Roman" w:eastAsia="Times New Roman" w:hAnsi="Times New Roman"/>
          <w:sz w:val="24"/>
          <w:szCs w:val="24"/>
          <w:highlight w:val="white"/>
          <w:rtl w:val="0"/>
        </w:rPr>
        <w:t xml:space="preserve"> y el portuñol un debe en términos de derecho. Revista de Llengua i Dret. Disponible en: https://eapc-rld.blog.gencat.cat/2024/04/25/el-perfil-linguistico-del-uruguay-el-espanol-lengua-oficial-de-facto-y-el-portunol-un-debe-en-terminos-de-derecho-yliana-v-rodriguez-y-carla-custodio/</w:t>
      </w:r>
    </w:p>
    <w:p w:rsidR="00000000" w:rsidDel="00000000" w:rsidP="00000000" w:rsidRDefault="00000000" w:rsidRPr="00000000" w14:paraId="00000050">
      <w:pPr>
        <w:widowControl w:val="0"/>
        <w:spacing w:line="271"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1">
      <w:pPr>
        <w:widowControl w:val="0"/>
        <w:spacing w:line="271"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14"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1" w:lineRule="auto"/>
        <w:ind w:left="72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La didáctica multigrado, plurigrado y multisseriada</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360" w:right="-14"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Las corrientes de la didáctica multigrado.</w:t>
      </w:r>
    </w:p>
    <w:p w:rsidR="00000000" w:rsidDel="00000000" w:rsidP="00000000" w:rsidRDefault="00000000" w:rsidRPr="00000000" w14:paraId="0000005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Los escenarios multigraduados.</w:t>
      </w:r>
    </w:p>
    <w:p w:rsidR="00000000" w:rsidDel="00000000" w:rsidP="00000000" w:rsidRDefault="00000000" w:rsidRPr="00000000" w14:paraId="000000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Los conceptos fundamentales de la multigraduación: diversificación de prácticas de enseñanza, alternancia de trabajo dirigido y trabajo autónomo, autonomía de los aprendientes, flexibilidad curricular, conextualización de la enseñanza. </w:t>
      </w:r>
    </w:p>
    <w:p w:rsidR="00000000" w:rsidDel="00000000" w:rsidP="00000000" w:rsidRDefault="00000000" w:rsidRPr="00000000" w14:paraId="00000058">
      <w:pPr>
        <w:widowControl w:val="0"/>
        <w:numPr>
          <w:ilvl w:val="0"/>
          <w:numId w:val="7"/>
        </w:numPr>
        <w:shd w:fill="ffffff" w:val="clear"/>
        <w:spacing w:before="240" w:line="360" w:lineRule="auto"/>
        <w:ind w:left="108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Multiedad, multigrado, interacciones entre pares asimétricos, circulación de saberes, acontecimiento didáctico, confluencia de múltiples trayectorias disciplinares, didáctica multigrado y sus tendencias, trasfondo pedagógico de la concepción, enseñanza universitaria, configuraciones didácticas, transposición didáctica, textualización y retextualización del saber.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obligatoria</w:t>
      </w:r>
      <w:r w:rsidDel="00000000" w:rsidR="00000000" w:rsidRPr="00000000">
        <w:rPr>
          <w:rtl w:val="0"/>
        </w:rPr>
      </w:r>
    </w:p>
    <w:p w:rsidR="00000000" w:rsidDel="00000000" w:rsidP="00000000" w:rsidRDefault="00000000" w:rsidRPr="00000000" w14:paraId="0000005C">
      <w:pPr>
        <w:numPr>
          <w:ilvl w:val="0"/>
          <w:numId w:val="11"/>
        </w:numPr>
        <w:spacing w:after="0" w:afterAutospacing="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Bustos, A. (2007) </w:t>
        <w:tab/>
        <w:t xml:space="preserve">Enseñar en la escuela rural aprendiendo a hacerlo. La evolución </w:t>
        <w:tab/>
        <w:t xml:space="preserve">de la identidad profesional en las aulas multigrado. En </w:t>
      </w:r>
      <w:r w:rsidDel="00000000" w:rsidR="00000000" w:rsidRPr="00000000">
        <w:rPr>
          <w:rFonts w:ascii="Times New Roman" w:cs="Times New Roman" w:eastAsia="Times New Roman" w:hAnsi="Times New Roman"/>
          <w:i w:val="1"/>
          <w:iCs w:val="1"/>
          <w:highlight w:val="white"/>
          <w:rtl w:val="0"/>
        </w:rPr>
        <w:t xml:space="preserve">Profesorado. </w:t>
        <w:tab/>
        <w:t xml:space="preserve"> Revista de currículum y formación del profesorado</w:t>
      </w:r>
      <w:r w:rsidDel="00000000" w:rsidR="00000000" w:rsidRPr="00000000">
        <w:rPr>
          <w:rFonts w:ascii="Times New Roman" w:cs="Times New Roman" w:eastAsia="Times New Roman" w:hAnsi="Times New Roman"/>
          <w:sz w:val="24"/>
          <w:szCs w:val="24"/>
          <w:highlight w:val="white"/>
          <w:rtl w:val="0"/>
        </w:rPr>
        <w:t xml:space="preserve">. </w:t>
        <w:tab/>
        <w:t xml:space="preserve">Universidad de Granada, 11 (3).</w:t>
        <w:br w:type="textWrapping"/>
        <w:br w:type="textWrapping"/>
        <w:t xml:space="preserve"> </w:t>
        <w:tab/>
      </w:r>
    </w:p>
    <w:p w:rsidR="00000000" w:rsidDel="00000000" w:rsidP="00000000" w:rsidRDefault="00000000" w:rsidRPr="00000000" w14:paraId="0000005D">
      <w:pPr>
        <w:numPr>
          <w:ilvl w:val="0"/>
          <w:numId w:val="3"/>
        </w:numPr>
        <w:spacing w:after="0" w:afterAutospacing="0" w:before="0" w:before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Caldart, R. (2012) </w:t>
        <w:tab/>
        <w:t xml:space="preserve">Educação do campo. En Caldart, Roseli et al. D</w:t>
      </w:r>
      <w:r w:rsidDel="00000000" w:rsidR="00000000" w:rsidRPr="00000000">
        <w:rPr>
          <w:rFonts w:ascii="Times New Roman" w:cs="Times New Roman" w:eastAsia="Times New Roman" w:hAnsi="Times New Roman"/>
          <w:i w:val="1"/>
          <w:iCs w:val="1"/>
          <w:highlight w:val="white"/>
          <w:rtl w:val="0"/>
        </w:rPr>
        <w:t xml:space="preserve">icionário </w:t>
        <w:tab/>
        <w:t xml:space="preserve">da Educação do Campo. </w:t>
      </w:r>
      <w:r w:rsidDel="00000000" w:rsidR="00000000" w:rsidRPr="00000000">
        <w:rPr>
          <w:rFonts w:ascii="Times New Roman" w:cs="Times New Roman" w:eastAsia="Times New Roman" w:hAnsi="Times New Roman"/>
          <w:sz w:val="24"/>
          <w:szCs w:val="24"/>
          <w:highlight w:val="white"/>
          <w:rtl w:val="0"/>
        </w:rPr>
        <w:t xml:space="preserve">Escola </w:t>
        <w:tab/>
        <w:t xml:space="preserve">Politécnica de Saúde Joaquim Venâncio, Expressão Popular.</w:t>
        <w:br w:type="textWrapping"/>
      </w:r>
    </w:p>
    <w:p w:rsidR="00000000" w:rsidDel="00000000" w:rsidP="00000000" w:rsidRDefault="00000000" w:rsidRPr="00000000" w14:paraId="0000005E">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Ezpeleta, </w:t>
        <w:tab/>
        <w:t xml:space="preserve">J. (1997) Algunos desafíos para la gestión de las escuelas </w:t>
        <w:tab/>
        <w:t xml:space="preserve">multigrado. En </w:t>
      </w:r>
      <w:r w:rsidDel="00000000" w:rsidR="00000000" w:rsidRPr="00000000">
        <w:rPr>
          <w:rFonts w:ascii="Times New Roman" w:cs="Times New Roman" w:eastAsia="Times New Roman" w:hAnsi="Times New Roman"/>
          <w:i w:val="1"/>
          <w:iCs w:val="1"/>
          <w:highlight w:val="white"/>
          <w:rtl w:val="0"/>
        </w:rPr>
        <w:t xml:space="preserve">Revista </w:t>
        <w:tab/>
        <w:t xml:space="preserve">Iberoamericana de Educación, </w:t>
      </w:r>
      <w:r w:rsidDel="00000000" w:rsidR="00000000" w:rsidRPr="00000000">
        <w:rPr>
          <w:rFonts w:ascii="Times New Roman" w:cs="Times New Roman" w:eastAsia="Times New Roman" w:hAnsi="Times New Roman"/>
          <w:sz w:val="24"/>
          <w:szCs w:val="24"/>
          <w:highlight w:val="white"/>
          <w:rtl w:val="0"/>
        </w:rPr>
        <w:t xml:space="preserve">15. </w:t>
        <w:tab/>
        <w:t xml:space="preserve">101-120.</w:t>
      </w:r>
      <w:hyperlink r:id="rId8">
        <w:r w:rsidDel="00000000" w:rsidR="00000000" w:rsidRPr="00000000">
          <w:rPr>
            <w:rFonts w:ascii="Times New Roman" w:cs="Times New Roman" w:eastAsia="Times New Roman" w:hAnsi="Times New Roman"/>
            <w:sz w:val="24"/>
            <w:szCs w:val="24"/>
            <w:highlight w:val="white"/>
            <w:rtl w:val="0"/>
          </w:rPr>
          <w:t xml:space="preserve"> </w:t>
        </w:r>
      </w:hyperlink>
      <w:hyperlink r:id="rId9">
        <w:r w:rsidDel="00000000" w:rsidR="00000000" w:rsidRPr="00000000">
          <w:rPr>
            <w:rFonts w:ascii="Times New Roman" w:cs="Times New Roman" w:eastAsia="Times New Roman" w:hAnsi="Times New Roman"/>
            <w:sz w:val="24"/>
            <w:szCs w:val="24"/>
            <w:highlight w:val="white"/>
            <w:u w:val="single"/>
            <w:rtl w:val="0"/>
          </w:rPr>
          <w:t xml:space="preserve">http://www.rioei.org/oeivirt/rie15a04.htm</w:t>
        </w:r>
      </w:hyperlink>
      <w:r w:rsidDel="00000000" w:rsidR="00000000" w:rsidRPr="00000000">
        <w:rPr>
          <w:rFonts w:ascii="Times New Roman" w:cs="Times New Roman" w:eastAsia="Times New Roman" w:hAnsi="Times New Roman"/>
          <w:sz w:val="24"/>
          <w:szCs w:val="24"/>
          <w:highlight w:val="white"/>
          <w:rtl w:val="0"/>
        </w:rPr>
        <w:t xml:space="preserve"> </w:t>
        <w:tab/>
        <w:t xml:space="preserve"> </w:t>
        <w:tab/>
        <w:br w:type="textWrapping"/>
      </w:r>
    </w:p>
    <w:p w:rsidR="00000000" w:rsidDel="00000000" w:rsidP="00000000" w:rsidRDefault="00000000" w:rsidRPr="00000000" w14:paraId="0000005F">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Rockwell, E.; Rebolledo, </w:t>
        <w:tab/>
        <w:t xml:space="preserve">V. (comps.) (2016). </w:t>
      </w:r>
      <w:r w:rsidDel="00000000" w:rsidR="00000000" w:rsidRPr="00000000">
        <w:rPr>
          <w:rFonts w:ascii="Times New Roman" w:cs="Times New Roman" w:eastAsia="Times New Roman" w:hAnsi="Times New Roman"/>
          <w:i w:val="1"/>
          <w:iCs w:val="1"/>
          <w:highlight w:val="white"/>
          <w:rtl w:val="0"/>
        </w:rPr>
        <w:t xml:space="preserve">Yoltocah. </w:t>
        <w:tab/>
        <w:t xml:space="preserve"> Estrategias didácticas multigrado. </w:t>
      </w:r>
      <w:r w:rsidDel="00000000" w:rsidR="00000000" w:rsidRPr="00000000">
        <w:rPr>
          <w:rFonts w:ascii="Times New Roman" w:cs="Times New Roman" w:eastAsia="Times New Roman" w:hAnsi="Times New Roman"/>
          <w:sz w:val="24"/>
          <w:szCs w:val="24"/>
          <w:highlight w:val="white"/>
          <w:rtl w:val="0"/>
        </w:rPr>
        <w:t xml:space="preserve"> </w:t>
        <w:tab/>
        <w:br w:type="textWrapping"/>
      </w:r>
    </w:p>
    <w:p w:rsidR="00000000" w:rsidDel="00000000" w:rsidP="00000000" w:rsidRDefault="00000000" w:rsidRPr="00000000" w14:paraId="00000060">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Santos, L. (2011) Aulas </w:t>
        <w:tab/>
        <w:t xml:space="preserve">multigrado y circulación de los saberes: especificidades didácticas </w:t>
        <w:tab/>
        <w:t xml:space="preserve">de la escuela rural. En </w:t>
      </w:r>
      <w:r w:rsidDel="00000000" w:rsidR="00000000" w:rsidRPr="00000000">
        <w:rPr>
          <w:rFonts w:ascii="Times New Roman" w:cs="Times New Roman" w:eastAsia="Times New Roman" w:hAnsi="Times New Roman"/>
          <w:i w:val="1"/>
          <w:iCs w:val="1"/>
          <w:highlight w:val="white"/>
          <w:rtl w:val="0"/>
        </w:rPr>
        <w:t xml:space="preserve">Profesorado. </w:t>
        <w:tab/>
        <w:t xml:space="preserve">Revista de currículum y formación del profesorado</w:t>
      </w:r>
      <w:r w:rsidDel="00000000" w:rsidR="00000000" w:rsidRPr="00000000">
        <w:rPr>
          <w:rFonts w:ascii="Times New Roman" w:cs="Times New Roman" w:eastAsia="Times New Roman" w:hAnsi="Times New Roman"/>
          <w:sz w:val="24"/>
          <w:szCs w:val="24"/>
          <w:highlight w:val="white"/>
          <w:rtl w:val="0"/>
        </w:rPr>
        <w:t xml:space="preserve">, </w:t>
        <w:tab/>
        <w:t xml:space="preserve">Vol. 15, Nº 2, Universidad de Granada. </w:t>
        <w:tab/>
      </w:r>
      <w:hyperlink r:id="rId10">
        <w:r w:rsidDel="00000000" w:rsidR="00000000" w:rsidRPr="00000000">
          <w:rPr>
            <w:rFonts w:ascii="Times New Roman" w:cs="Times New Roman" w:eastAsia="Times New Roman" w:hAnsi="Times New Roman"/>
            <w:sz w:val="24"/>
            <w:szCs w:val="24"/>
            <w:highlight w:val="white"/>
            <w:u w:val="single"/>
            <w:rtl w:val="0"/>
          </w:rPr>
          <w:t xml:space="preserve">http://www.ugr.es/local/recfpro/rev15ART5.pdf</w:t>
        </w:r>
      </w:hyperlink>
      <w:r w:rsidDel="00000000" w:rsidR="00000000" w:rsidRPr="00000000">
        <w:rPr>
          <w:rFonts w:ascii="Times New Roman" w:cs="Times New Roman" w:eastAsia="Times New Roman" w:hAnsi="Times New Roman"/>
          <w:sz w:val="24"/>
          <w:szCs w:val="24"/>
          <w:highlight w:val="white"/>
          <w:rtl w:val="0"/>
        </w:rPr>
        <w:t xml:space="preserve"> </w:t>
        <w:tab/>
        <w:t xml:space="preserve"> </w:t>
        <w:tab/>
        <w:br w:type="textWrapping"/>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complementaria</w:t>
      </w:r>
      <w:r w:rsidDel="00000000" w:rsidR="00000000" w:rsidRPr="00000000">
        <w:rPr>
          <w:rtl w:val="0"/>
        </w:rPr>
      </w:r>
    </w:p>
    <w:p w:rsidR="00000000" w:rsidDel="00000000" w:rsidP="00000000" w:rsidRDefault="00000000" w:rsidRPr="00000000" w14:paraId="00000062">
      <w:pPr>
        <w:numPr>
          <w:ilvl w:val="0"/>
          <w:numId w:val="3"/>
        </w:numPr>
        <w:spacing w:after="24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Bustos, A. (2011) </w:t>
        <w:tab/>
        <w:t xml:space="preserve">Investigación y escuela rural: ¿irreconciliables? En </w:t>
        <w:tab/>
      </w:r>
      <w:r w:rsidDel="00000000" w:rsidR="00000000" w:rsidRPr="00000000">
        <w:rPr>
          <w:rFonts w:ascii="Times New Roman" w:cs="Times New Roman" w:eastAsia="Times New Roman" w:hAnsi="Times New Roman"/>
          <w:i w:val="1"/>
          <w:iCs w:val="1"/>
          <w:highlight w:val="white"/>
          <w:rtl w:val="0"/>
        </w:rPr>
        <w:t xml:space="preserve">Profesorado. </w:t>
        <w:tab/>
        <w:t xml:space="preserve"> Revista de currículum y formación del profesorado</w:t>
      </w:r>
      <w:r w:rsidDel="00000000" w:rsidR="00000000" w:rsidRPr="00000000">
        <w:rPr>
          <w:rFonts w:ascii="Times New Roman" w:cs="Times New Roman" w:eastAsia="Times New Roman" w:hAnsi="Times New Roman"/>
          <w:sz w:val="24"/>
          <w:szCs w:val="24"/>
          <w:highlight w:val="white"/>
          <w:rtl w:val="0"/>
        </w:rPr>
        <w:t xml:space="preserve">. </w:t>
        <w:tab/>
        <w:t xml:space="preserve">Universidad de Granada. Vol. 15, Nº 2. </w:t>
        <w:tab/>
      </w:r>
      <w:hyperlink r:id="rId11">
        <w:r w:rsidDel="00000000" w:rsidR="00000000" w:rsidRPr="00000000">
          <w:rPr>
            <w:rFonts w:ascii="Times New Roman" w:cs="Times New Roman" w:eastAsia="Times New Roman" w:hAnsi="Times New Roman"/>
            <w:sz w:val="24"/>
            <w:szCs w:val="24"/>
            <w:highlight w:val="white"/>
            <w:u w:val="single"/>
            <w:rtl w:val="0"/>
          </w:rPr>
          <w:t xml:space="preserve">http://www.ugr.es/local/recfpro/rev152ART10.pdf</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89" w:line="271" w:lineRule="auto"/>
        <w:ind w:left="72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De la didáctica multigrado a </w:t>
      </w:r>
      <w:r w:rsidDel="00000000" w:rsidR="00000000" w:rsidRPr="00000000">
        <w:rPr>
          <w:rFonts w:ascii="Times New Roman" w:cs="Times New Roman" w:eastAsia="Times New Roman" w:hAnsi="Times New Roman"/>
          <w:b w:val="1"/>
          <w:bCs w:val="1"/>
          <w:sz w:val="24"/>
          <w:szCs w:val="24"/>
          <w:highlight w:val="white"/>
          <w:rtl w:val="0"/>
        </w:rPr>
        <w:t xml:space="preserve">l</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a didáctica de la diversidad</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 didáctica multigrado más allá de la escuela rural.</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Las aulas heterogéneas y sus efectos sobre la enseñanza y el aprendizaje.</w:t>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 circulación de saberes entre pares asimétricos.</w:t>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89" w:line="271" w:lineRule="auto"/>
        <w:ind w:left="1080" w:right="-14" w:hanging="360"/>
        <w:jc w:val="both"/>
        <w:rPr>
          <w:rFonts w:ascii="Times New Roman" w:cs="Times New Roman" w:eastAsia="Times New Roman" w:hAnsi="Times New Roman"/>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La enseñanza en aulas diversas en educación media, terciaria y universitaria.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obligatoria</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Santos, L. (2018) El estatuto de cientificidad del conocimiento didáctico. Un análisis teórico de la Didáctica Multigrado y sus vertientes. FLACSO Uruguay. https://repositorio.flacsoandes.edu.ec/server/api/core/bitstreams/ddd4c9f3-5c93-45cd-bcca-4692715d388f/content</w:t>
      </w:r>
    </w:p>
    <w:p w:rsidR="00000000" w:rsidDel="00000000" w:rsidP="00000000" w:rsidRDefault="00000000" w:rsidRPr="00000000" w14:paraId="0000006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Santos, L. (2020) Circulación de saberes en aulas diversas: el caso de la Maestría en Educación y Extensión Rural. Universidad de la República. Montevideo. https://www.cse.udelar.edu.uy/wp-content/uploads/2022/04/limber-santos.pdf</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Bibliografía complementaria</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Santos, L. (2025) Circulación de saberes entre pares asimétricos en aulas multigrado de escuelas unidocentes de Uruguay. Universidad de Barcelona. (inédito).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Segundo Bloque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5- Didáctica y</w:t>
      </w:r>
      <w:r w:rsidDel="00000000" w:rsidR="00000000" w:rsidRPr="00000000">
        <w:rPr>
          <w:rFonts w:ascii="Times New Roman" w:cs="Times New Roman" w:eastAsia="Times New Roman" w:hAnsi="Times New Roman"/>
          <w:b w:val="1"/>
          <w:bCs w:val="1"/>
          <w:sz w:val="24"/>
          <w:szCs w:val="24"/>
          <w:highlight w:val="white"/>
          <w:rtl w:val="0"/>
        </w:rPr>
        <w:t xml:space="preserve"> Educación ambiental</w:t>
      </w:r>
    </w:p>
    <w:p w:rsidR="00000000" w:rsidDel="00000000" w:rsidP="00000000" w:rsidRDefault="00000000" w:rsidRPr="00000000" w14:paraId="0000007B">
      <w:pPr>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Bibliografía obligatoria</w:t>
      </w:r>
    </w:p>
    <w:p w:rsidR="00000000" w:rsidDel="00000000" w:rsidP="00000000" w:rsidRDefault="00000000" w:rsidRPr="00000000" w14:paraId="0000007E">
      <w:pPr>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Garrido, Rosario, (2018),</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Fundamentación epistemológica de la relevancia disciplinar de la didáctica del derecho .Enseñabilidad dominante versus</w:t>
      </w:r>
    </w:p>
    <w:p w:rsidR="00000000" w:rsidDel="00000000" w:rsidP="00000000" w:rsidRDefault="00000000" w:rsidRPr="00000000" w14:paraId="00000080">
      <w:pPr>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alternativa del Derecho en: Revista Borradores, Aportes a la educación en ciencias sociales en:  Antropoceno. La Aldea global en la encrucijada, Número 2, Año 2, Editorial Camus, Montevideo</w:t>
      </w:r>
      <w:r w:rsidDel="00000000" w:rsidR="00000000" w:rsidRPr="00000000">
        <w:rPr>
          <w:rtl w:val="0"/>
        </w:rPr>
      </w:r>
    </w:p>
    <w:p w:rsidR="00000000" w:rsidDel="00000000" w:rsidP="00000000" w:rsidRDefault="00000000" w:rsidRPr="00000000" w14:paraId="00000081">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Pesce, Fernando, (2018) </w:t>
      </w:r>
      <w:r w:rsidDel="00000000" w:rsidR="00000000" w:rsidRPr="00000000">
        <w:rPr>
          <w:rFonts w:ascii="Times New Roman" w:cs="Times New Roman" w:eastAsia="Times New Roman" w:hAnsi="Times New Roman"/>
          <w:sz w:val="24"/>
          <w:szCs w:val="24"/>
          <w:highlight w:val="white"/>
          <w:rtl w:val="0"/>
        </w:rPr>
        <w:t xml:space="preserve">La sociedad global en la encrucijada: ¿Vivimos en una nueva época histórica/geológica?, en: Revista Borradores, Aportes a la educación en ciencias sociales. Antropoceno. La Aldea global en la encrucijada, Número 2, Año 2, Editorial Camus, Montevideo</w:t>
      </w:r>
    </w:p>
    <w:p w:rsidR="00000000" w:rsidDel="00000000" w:rsidP="00000000" w:rsidRDefault="00000000" w:rsidRPr="00000000" w14:paraId="00000082">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3">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________________(2025) Aportes de la Geografía Escolar uruguaya a la</w:t>
      </w:r>
    </w:p>
    <w:p w:rsidR="00000000" w:rsidDel="00000000" w:rsidP="00000000" w:rsidRDefault="00000000" w:rsidRPr="00000000" w14:paraId="00000084">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Educación Ambiental, en: dos Santos, Clézio; Bachmann, Lía [Orgs.] Educação Ambiental na América Latina: ideias e desafios para espaços educativos. Educación Ambiental en América Latina: ideas y desafíos para espacios educativos. São Carlos: Pedro &amp; João Editores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Bibliografía complementaria</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Bruschi, Rita; Canziani,Cecilia;  Cutinella, Cesar, (2026) Salidas de campo en Educación Ambiental. Propuestas de sitios y actividades para el trabajo interdisciplinario Biología-Geografía en Enseñanza Media, ANEP-CFE, ANII, Montevideo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Pesce, Fernando, El desarrollo de Latinoamérica desde la mirada de las ciencias sociales,(2021) Revista Borradores, Aportes a la educación en ciencias sociales, Número 11, Año 3, Editorial Camus, Montevideo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6- Procesos de aprendizajes con sujetos colectivos rurales</w:t>
      </w:r>
    </w:p>
    <w:p w:rsidR="00000000" w:rsidDel="00000000" w:rsidP="00000000" w:rsidRDefault="00000000" w:rsidRPr="00000000" w14:paraId="0000008D">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Bibliografía obligatoria</w:t>
      </w:r>
      <w:r w:rsidDel="00000000" w:rsidR="00000000" w:rsidRPr="00000000">
        <w:rPr>
          <w:rtl w:val="0"/>
        </w:rPr>
      </w:r>
    </w:p>
    <w:p w:rsidR="00000000" w:rsidDel="00000000" w:rsidP="00000000" w:rsidRDefault="00000000" w:rsidRPr="00000000" w14:paraId="0000008F">
      <w:pPr>
        <w:widowControl w:val="0"/>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Díaz, P., (2024),</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Campos, agua y escuelas en el Uruguay rural,</w:t>
        </w:r>
      </w:hyperlink>
      <w:r w:rsidDel="00000000" w:rsidR="00000000" w:rsidRPr="00000000">
        <w:rPr>
          <w:rFonts w:ascii="Times New Roman" w:cs="Times New Roman" w:eastAsia="Times New Roman" w:hAnsi="Times New Roman"/>
          <w:color w:val="1155cc"/>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Revista Polifonías</w:t>
      </w:r>
    </w:p>
    <w:p w:rsidR="00000000" w:rsidDel="00000000" w:rsidP="00000000" w:rsidRDefault="00000000" w:rsidRPr="00000000" w14:paraId="00000090">
      <w:pPr>
        <w:widowControl w:val="0"/>
        <w:spacing w:before="240" w:lineRule="auto"/>
        <w:ind w:left="0" w:firstLine="0"/>
        <w:rPr>
          <w:rFonts w:ascii="Times New Roman" w:cs="Times New Roman" w:eastAsia="Times New Roman" w:hAnsi="Times New Roman"/>
          <w:color w:val="0000ff"/>
          <w:sz w:val="24"/>
          <w:szCs w:val="24"/>
          <w:u w:val="single"/>
        </w:rPr>
      </w:pPr>
      <w:hyperlink r:id="rId14">
        <w:r w:rsidDel="00000000" w:rsidR="00000000" w:rsidRPr="00000000">
          <w:rPr>
            <w:rFonts w:ascii="Times New Roman" w:cs="Times New Roman" w:eastAsia="Times New Roman" w:hAnsi="Times New Roman"/>
            <w:color w:val="0000ff"/>
            <w:sz w:val="24"/>
            <w:szCs w:val="24"/>
            <w:u w:val="single"/>
            <w:rtl w:val="0"/>
          </w:rPr>
          <w:t xml:space="preserve">http://revistapolifonias.pedagogica.edu.co/campos-agua-y-escuelas-en-el-uruguay-rural/</w:t>
        </w:r>
      </w:hyperlink>
      <w:r w:rsidDel="00000000" w:rsidR="00000000" w:rsidRPr="00000000">
        <w:rPr>
          <w:rtl w:val="0"/>
        </w:rPr>
      </w:r>
    </w:p>
    <w:p w:rsidR="00000000" w:rsidDel="00000000" w:rsidP="00000000" w:rsidRDefault="00000000" w:rsidRPr="00000000" w14:paraId="0000009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Bibliografía complementaria</w:t>
      </w:r>
    </w:p>
    <w:p w:rsidR="00000000" w:rsidDel="00000000" w:rsidP="00000000" w:rsidRDefault="00000000" w:rsidRPr="00000000" w14:paraId="00000094">
      <w:pPr>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95">
      <w:pPr>
        <w:widowControl w:val="0"/>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rtl w:val="0"/>
        </w:rPr>
        <w:t xml:space="preserve">Freire, Paulo, (1984) Extensión o comunicación? La concientización en el medio rural, Siglo XXI, Montevideo</w:t>
      </w: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b w:val="1"/>
          <w:bCs w:val="1"/>
          <w:sz w:val="24"/>
          <w:szCs w:val="24"/>
          <w:highlight w:val="white"/>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ítulo1">
    <w:name w:val="Título 1"/>
    <w:basedOn w:val="LO-normal1"/>
    <w:next w:val="LO-normal1"/>
    <w:autoRedefine w:val="0"/>
    <w:hidden w:val="0"/>
    <w:qFormat w:val="0"/>
    <w:pPr>
      <w:keepNext w:val="1"/>
      <w:keepLines w:val="1"/>
      <w:pageBreakBefore w:val="0"/>
      <w:suppressAutoHyphens w:val="0"/>
      <w:spacing w:after="120" w:before="400" w:line="240" w:lineRule="auto"/>
      <w:ind w:leftChars="-1" w:rightChars="0" w:firstLineChars="-1"/>
      <w:textDirection w:val="btLr"/>
      <w:textAlignment w:val="top"/>
      <w:outlineLvl w:val="0"/>
    </w:pPr>
    <w:rPr>
      <w:w w:val="100"/>
      <w:position w:val="-1"/>
      <w:sz w:val="40"/>
      <w:szCs w:val="40"/>
      <w:effect w:val="none"/>
      <w:vertAlign w:val="baseline"/>
      <w:cs w:val="0"/>
      <w:em w:val="none"/>
      <w:lang w:bidi="hi-IN" w:eastAsia="zh-CN" w:val="en-US"/>
    </w:rPr>
  </w:style>
  <w:style w:type="paragraph" w:styleId="Título2">
    <w:name w:val="Título 2"/>
    <w:basedOn w:val="LO-normal1"/>
    <w:next w:val="LO-normal1"/>
    <w:autoRedefine w:val="0"/>
    <w:hidden w:val="0"/>
    <w:qFormat w:val="0"/>
    <w:pPr>
      <w:keepNext w:val="1"/>
      <w:keepLines w:val="1"/>
      <w:pageBreakBefore w:val="0"/>
      <w:suppressAutoHyphens w:val="0"/>
      <w:spacing w:after="120" w:before="360" w:line="240" w:lineRule="auto"/>
      <w:ind w:leftChars="-1" w:rightChars="0" w:firstLineChars="-1"/>
      <w:textDirection w:val="btLr"/>
      <w:textAlignment w:val="top"/>
      <w:outlineLvl w:val="0"/>
    </w:pPr>
    <w:rPr>
      <w:w w:val="100"/>
      <w:position w:val="-1"/>
      <w:sz w:val="32"/>
      <w:szCs w:val="32"/>
      <w:effect w:val="none"/>
      <w:vertAlign w:val="baseline"/>
      <w:cs w:val="0"/>
      <w:em w:val="none"/>
      <w:lang w:bidi="hi-IN" w:eastAsia="zh-CN" w:val="en-US"/>
    </w:rPr>
  </w:style>
  <w:style w:type="paragraph" w:styleId="Título3">
    <w:name w:val="Título 3"/>
    <w:basedOn w:val="LO-normal1"/>
    <w:next w:val="LO-normal1"/>
    <w:autoRedefine w:val="0"/>
    <w:hidden w:val="0"/>
    <w:qFormat w:val="0"/>
    <w:pPr>
      <w:keepNext w:val="1"/>
      <w:keepLines w:val="1"/>
      <w:pageBreakBefore w:val="0"/>
      <w:suppressAutoHyphens w:val="0"/>
      <w:spacing w:after="80" w:before="320" w:line="240" w:lineRule="auto"/>
      <w:ind w:leftChars="-1" w:rightChars="0" w:firstLineChars="-1"/>
      <w:textDirection w:val="btLr"/>
      <w:textAlignment w:val="top"/>
      <w:outlineLvl w:val="0"/>
    </w:pPr>
    <w:rPr>
      <w:color w:val="434343"/>
      <w:w w:val="100"/>
      <w:position w:val="-1"/>
      <w:sz w:val="28"/>
      <w:szCs w:val="28"/>
      <w:effect w:val="none"/>
      <w:vertAlign w:val="baseline"/>
      <w:cs w:val="0"/>
      <w:em w:val="none"/>
      <w:lang w:bidi="hi-IN" w:eastAsia="zh-CN" w:val="en-US"/>
    </w:rPr>
  </w:style>
  <w:style w:type="paragraph" w:styleId="Título4">
    <w:name w:val="Título 4"/>
    <w:basedOn w:val="LO-normal1"/>
    <w:next w:val="LO-normal1"/>
    <w:autoRedefine w:val="0"/>
    <w:hidden w:val="0"/>
    <w:qFormat w:val="0"/>
    <w:pPr>
      <w:keepNext w:val="1"/>
      <w:keepLines w:val="1"/>
      <w:pageBreakBefore w:val="0"/>
      <w:suppressAutoHyphens w:val="0"/>
      <w:spacing w:after="80" w:before="280" w:line="240" w:lineRule="auto"/>
      <w:ind w:leftChars="-1" w:rightChars="0" w:firstLineChars="-1"/>
      <w:textDirection w:val="btLr"/>
      <w:textAlignment w:val="top"/>
      <w:outlineLvl w:val="0"/>
    </w:pPr>
    <w:rPr>
      <w:color w:val="666666"/>
      <w:w w:val="100"/>
      <w:position w:val="-1"/>
      <w:sz w:val="24"/>
      <w:szCs w:val="24"/>
      <w:effect w:val="none"/>
      <w:vertAlign w:val="baseline"/>
      <w:cs w:val="0"/>
      <w:em w:val="none"/>
      <w:lang w:bidi="hi-IN" w:eastAsia="zh-CN" w:val="en-US"/>
    </w:rPr>
  </w:style>
  <w:style w:type="paragraph" w:styleId="Título5">
    <w:name w:val="Título 5"/>
    <w:basedOn w:val="LO-normal1"/>
    <w:next w:val="LO-normal1"/>
    <w:autoRedefine w:val="0"/>
    <w:hidden w:val="0"/>
    <w:qFormat w:val="0"/>
    <w:pPr>
      <w:keepNext w:val="1"/>
      <w:keepLines w:val="1"/>
      <w:pageBreakBefore w:val="0"/>
      <w:suppressAutoHyphens w:val="0"/>
      <w:spacing w:after="80" w:before="240" w:line="240" w:lineRule="auto"/>
      <w:ind w:leftChars="-1" w:rightChars="0" w:firstLineChars="-1"/>
      <w:textDirection w:val="btLr"/>
      <w:textAlignment w:val="top"/>
      <w:outlineLvl w:val="0"/>
    </w:pPr>
    <w:rPr>
      <w:color w:val="666666"/>
      <w:w w:val="100"/>
      <w:position w:val="-1"/>
      <w:sz w:val="22"/>
      <w:szCs w:val="22"/>
      <w:effect w:val="none"/>
      <w:vertAlign w:val="baseline"/>
      <w:cs w:val="0"/>
      <w:em w:val="none"/>
      <w:lang w:bidi="hi-IN" w:eastAsia="zh-CN" w:val="en-US"/>
    </w:rPr>
  </w:style>
  <w:style w:type="paragraph" w:styleId="Título6">
    <w:name w:val="Título 6"/>
    <w:basedOn w:val="LO-normal1"/>
    <w:next w:val="LO-normal1"/>
    <w:autoRedefine w:val="0"/>
    <w:hidden w:val="0"/>
    <w:qFormat w:val="0"/>
    <w:pPr>
      <w:keepNext w:val="1"/>
      <w:keepLines w:val="1"/>
      <w:pageBreakBefore w:val="0"/>
      <w:suppressAutoHyphens w:val="0"/>
      <w:spacing w:after="80" w:before="240" w:line="240" w:lineRule="auto"/>
      <w:ind w:leftChars="-1" w:rightChars="0" w:firstLineChars="-1"/>
      <w:textDirection w:val="btLr"/>
      <w:textAlignment w:val="top"/>
      <w:outlineLvl w:val="0"/>
    </w:pPr>
    <w:rPr>
      <w:i w:val="1"/>
      <w:color w:val="666666"/>
      <w:w w:val="100"/>
      <w:position w:val="-1"/>
      <w:sz w:val="22"/>
      <w:szCs w:val="22"/>
      <w:effect w:val="none"/>
      <w:vertAlign w:val="baseline"/>
      <w:cs w:val="0"/>
      <w:em w:val="none"/>
      <w:lang w:bidi="hi-IN" w:eastAsia="zh-CN" w:val="en-U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Caracteresdenotaalpie">
    <w:name w:val="Caracteres de nota al pie"/>
    <w:next w:val="Caracteresdenotaalpie"/>
    <w:autoRedefine w:val="0"/>
    <w:hidden w:val="0"/>
    <w:qFormat w:val="0"/>
    <w:rPr>
      <w:w w:val="100"/>
      <w:position w:val="-1"/>
      <w:effect w:val="none"/>
      <w:vertAlign w:val="baseline"/>
      <w:cs w:val="0"/>
      <w:em w:val="none"/>
      <w:lang/>
    </w:rPr>
  </w:style>
  <w:style w:type="character" w:styleId="Ancladenotaalpie">
    <w:name w:val="Ancla de nota al pie"/>
    <w:next w:val="Ancladenotaalpie"/>
    <w:autoRedefine w:val="0"/>
    <w:hidden w:val="0"/>
    <w:qFormat w:val="0"/>
    <w:rPr>
      <w:w w:val="100"/>
      <w:position w:val="-1"/>
      <w:effect w:val="none"/>
      <w:vertAlign w:val="superscript"/>
      <w:cs w:val="0"/>
      <w:em w:val="none"/>
      <w:lang/>
    </w:rPr>
  </w:style>
  <w:style w:type="character" w:styleId="Ancladenotafinal">
    <w:name w:val="Ancla de nota final"/>
    <w:next w:val="Ancladenotafinal"/>
    <w:autoRedefine w:val="0"/>
    <w:hidden w:val="0"/>
    <w:qFormat w:val="0"/>
    <w:rPr>
      <w:w w:val="100"/>
      <w:position w:val="-1"/>
      <w:effect w:val="none"/>
      <w:vertAlign w:val="superscript"/>
      <w:cs w:val="0"/>
      <w:em w:val="none"/>
      <w:lang/>
    </w:rPr>
  </w:style>
  <w:style w:type="character" w:styleId="Caracteresdenotafinal">
    <w:name w:val="Caracteres de nota final"/>
    <w:next w:val="Caracteresdenotafinal"/>
    <w:autoRedefine w:val="0"/>
    <w:hidden w:val="0"/>
    <w:qFormat w:val="0"/>
    <w:rPr>
      <w:w w:val="100"/>
      <w:position w:val="-1"/>
      <w:effect w:val="none"/>
      <w:vertAlign w:val="baseline"/>
      <w:cs w:val="0"/>
      <w:em w:val="none"/>
      <w:lang/>
    </w:rPr>
  </w:style>
  <w:style w:type="character" w:styleId="EnlacedeInternet">
    <w:name w:val="Enlace de Internet"/>
    <w:next w:val="EnlacedeInternet"/>
    <w:autoRedefine w:val="0"/>
    <w:hidden w:val="0"/>
    <w:qFormat w:val="0"/>
    <w:rPr>
      <w:color w:val="000080"/>
      <w:w w:val="100"/>
      <w:position w:val="-1"/>
      <w:u w:val="single"/>
      <w:effect w:val="none"/>
      <w:vertAlign w:val="baseline"/>
      <w:cs w:val="0"/>
      <w:em w:val="none"/>
      <w:lang/>
    </w:rPr>
  </w:style>
  <w:style w:type="paragraph" w:styleId="Título">
    <w:name w:val="Título"/>
    <w:basedOn w:val="LO-normal1"/>
    <w:next w:val="Textoindependiente"/>
    <w:autoRedefine w:val="0"/>
    <w:hidden w:val="0"/>
    <w:qFormat w:val="0"/>
    <w:pPr>
      <w:keepNext w:val="1"/>
      <w:keepLines w:val="1"/>
      <w:pageBreakBefore w:val="0"/>
      <w:suppressAutoHyphens w:val="0"/>
      <w:spacing w:after="60" w:before="0" w:line="240" w:lineRule="auto"/>
      <w:ind w:leftChars="-1" w:rightChars="0" w:firstLineChars="-1"/>
      <w:textDirection w:val="btLr"/>
      <w:textAlignment w:val="top"/>
      <w:outlineLvl w:val="0"/>
    </w:pPr>
    <w:rPr>
      <w:w w:val="100"/>
      <w:position w:val="-1"/>
      <w:sz w:val="52"/>
      <w:szCs w:val="52"/>
      <w:effect w:val="none"/>
      <w:vertAlign w:val="baseline"/>
      <w:cs w:val="0"/>
      <w:em w:val="none"/>
      <w:lang w:bidi="hi-IN" w:eastAsia="zh-CN" w:val="en-US"/>
    </w:rPr>
  </w:style>
  <w:style w:type="paragraph" w:styleId="Textoindependiente">
    <w:name w:val="Texto independiente"/>
    <w:basedOn w:val="LO-normal1"/>
    <w:next w:val="Textoindependiente"/>
    <w:autoRedefine w:val="0"/>
    <w:hidden w:val="0"/>
    <w:qFormat w:val="0"/>
    <w:pPr>
      <w:suppressAutoHyphens w:val="0"/>
      <w:spacing w:after="140" w:before="0"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style>
  <w:style w:type="paragraph" w:styleId="Lista">
    <w:name w:val="Lista"/>
    <w:basedOn w:val="Textoindependiente"/>
    <w:next w:val="Lista"/>
    <w:autoRedefine w:val="0"/>
    <w:hidden w:val="0"/>
    <w:qFormat w:val="0"/>
    <w:pPr>
      <w:suppressAutoHyphens w:val="0"/>
      <w:spacing w:after="140" w:before="0"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style>
  <w:style w:type="paragraph" w:styleId="Epígrafe">
    <w:name w:val="Epígrafe"/>
    <w:basedOn w:val="LO-normal1"/>
    <w:next w:val="Epígrafe"/>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i w:val="1"/>
      <w:iCs w:val="1"/>
      <w:w w:val="100"/>
      <w:position w:val="-1"/>
      <w:sz w:val="24"/>
      <w:szCs w:val="24"/>
      <w:effect w:val="none"/>
      <w:vertAlign w:val="baseline"/>
      <w:cs w:val="0"/>
      <w:em w:val="none"/>
      <w:lang w:bidi="hi-IN" w:eastAsia="zh-CN" w:val="en-US"/>
    </w:rPr>
  </w:style>
  <w:style w:type="paragraph" w:styleId="Índice">
    <w:name w:val="Índice"/>
    <w:basedOn w:val="LO-normal1"/>
    <w:next w:val="Índice"/>
    <w:autoRedefine w:val="0"/>
    <w:hidden w:val="0"/>
    <w:qFormat w:val="0"/>
    <w:pPr>
      <w:suppressLineNumbers w:val="1"/>
      <w:suppressAutoHyphens w:val="0"/>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style>
  <w:style w:type="paragraph" w:styleId="LO-normal1">
    <w:name w:val="LO-normal1"/>
    <w:next w:val="LO-normal1"/>
    <w:autoRedefine w:val="0"/>
    <w:hidden w:val="0"/>
    <w:qFormat w:val="0"/>
    <w:pPr>
      <w:suppressAutoHyphens w:val="0"/>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style>
  <w:style w:type="paragraph" w:styleId="LO-normal">
    <w:name w:val="LO-normal"/>
    <w:next w:val="LO-normal"/>
    <w:autoRedefine w:val="0"/>
    <w:hidden w:val="0"/>
    <w:qFormat w:val="0"/>
    <w:pPr>
      <w:suppressAutoHyphens w:val="0"/>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style>
  <w:style w:type="paragraph" w:styleId="Textonotapie">
    <w:name w:val="Texto nota pie"/>
    <w:basedOn w:val="LO-normal1"/>
    <w:next w:val="Textonotapie"/>
    <w:autoRedefine w:val="0"/>
    <w:hidden w:val="0"/>
    <w:qFormat w:val="0"/>
    <w:pPr>
      <w:suppressAutoHyphens w:val="0"/>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style>
  <w:style w:type="paragraph" w:styleId="Subtítulo">
    <w:name w:val="Subtítulo"/>
    <w:basedOn w:val="LO-normal1"/>
    <w:next w:val="LO-normal1"/>
    <w:autoRedefine w:val="0"/>
    <w:hidden w:val="0"/>
    <w:qFormat w:val="0"/>
    <w:pPr>
      <w:keepNext w:val="1"/>
      <w:keepLines w:val="1"/>
      <w:pageBreakBefore w:val="0"/>
      <w:widowControl w:val="1"/>
      <w:shd w:color="auto" w:fill="auto" w:val="clear"/>
      <w:suppressAutoHyphens w:val="0"/>
      <w:spacing w:after="320" w:before="0" w:line="240" w:lineRule="auto"/>
      <w:ind w:left="0" w:right="0" w:leftChars="-1" w:rightChars="0" w:firstLine="0" w:firstLineChars="-1"/>
      <w:jc w:val="left"/>
      <w:textDirection w:val="btLr"/>
      <w:textAlignment w:val="top"/>
      <w:outlineLvl w:val="0"/>
    </w:pPr>
    <w:rPr>
      <w:rFonts w:ascii="Arial" w:cs="Arial" w:eastAsia="Arial" w:hAnsi="Arial"/>
      <w:dstrike w:val="0"/>
      <w:color w:val="666666"/>
      <w:w w:val="100"/>
      <w:position w:val="0"/>
      <w:sz w:val="30"/>
      <w:szCs w:val="30"/>
      <w:u w:val="none"/>
      <w:effect w:val="none"/>
      <w:shd w:color="auto" w:fill="auto" w:val="clear"/>
      <w:vertAlign w:val="baseline"/>
      <w:cs w:val="0"/>
      <w:em w:val="none"/>
      <w:lang w:bidi="hi-IN" w:eastAsia="zh-CN" w:val="en-US"/>
    </w:rPr>
  </w:style>
  <w:style w:type="table" w:styleId="TableNormal0">
    <w:name w:val="TableNormal"/>
    <w:next w:val="TableNormal0"/>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tblPr>
      <w:tblStyle w:val="TableNormal0"/>
      <w:jc w:val="left"/>
    </w:tblPr>
  </w:style>
  <w:style w:type="table" w:styleId="TableNormal1">
    <w:name w:val="TableNormal"/>
    <w:next w:val="TableNormal1"/>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tblPr>
      <w:tblStyle w:val="TableNormal1"/>
      <w:jc w:val="left"/>
    </w:tblPr>
  </w:style>
  <w:style w:type="table" w:styleId="TableNormal2">
    <w:name w:val="Table Normal"/>
    <w:next w:val="TableNormal2"/>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tblPr>
      <w:tblStyle w:val="TableNormal2"/>
      <w:jc w:val="left"/>
    </w:tblPr>
  </w:style>
  <w:style w:type="table" w:styleId="TableNormal">
    <w:name w:val="Table Normal"/>
    <w:next w:val="TableNormal"/>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hi-IN" w:eastAsia="zh-CN" w:val="en-US"/>
    </w:rPr>
    <w:tblPr>
      <w:tblStyle w:val="TableNormal"/>
      <w:jc w:val="left"/>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ugr.es/local/recfpro/rev152ART10.pdf" TargetMode="External"/><Relationship Id="rId10" Type="http://schemas.openxmlformats.org/officeDocument/2006/relationships/hyperlink" Target="http://www.ugr.es/local/recfpro/rev15ART5.pdf" TargetMode="External"/><Relationship Id="rId13" Type="http://schemas.openxmlformats.org/officeDocument/2006/relationships/hyperlink" Target="http://revistapolifonias.pedagogica.edu.co/campos-agua-y-escuelas-en-el-uruguay-rural/" TargetMode="External"/><Relationship Id="rId12" Type="http://schemas.openxmlformats.org/officeDocument/2006/relationships/hyperlink" Target="http://revistapolifonias.pedagogica.edu.co/campos-agua-y-escuelas-en-el-uruguay-rur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ioei.org/oeivirt/rie15a04.htm" TargetMode="External"/><Relationship Id="rId14" Type="http://schemas.openxmlformats.org/officeDocument/2006/relationships/hyperlink" Target="http://revistapolifonias.pedagogica.edu.co/campos-agua-y-escuelas-en-el-uruguay-rur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naforas.fic.edu.uy/jspui/bitstream/123456789/52123/1/ebfmc.pdf" TargetMode="External"/><Relationship Id="rId8" Type="http://schemas.openxmlformats.org/officeDocument/2006/relationships/hyperlink" Target="http://www.rioei.org/oeivirt/rie15a04.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MqsPx5X9TUo1o1NQopc4v6+l6Q==">CgMxLjA4AHIhMWFkcGFTY2Z6Q05fWmNja09wZHdZYWZyVldWZ3lIdWVn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2026-03-09T18:34:00Z</dcterms:created>
  <dc:creator>Luffi</dc:creator>
</cp:coreProperties>
</file>