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   Facultad de Humanidades y Ciencias de la Educación</w:t>
      </w:r>
      <w:r w:rsidDel="00000000" w:rsidR="00000000" w:rsidRPr="00000000">
        <w:drawing>
          <wp:anchor allowOverlap="1" behindDoc="0" distB="0" distT="0" distL="0" distR="0" hidden="0" layoutInCell="1" locked="0" relativeHeight="0" simplePos="0">
            <wp:simplePos x="0" y="0"/>
            <wp:positionH relativeFrom="column">
              <wp:posOffset>-167004</wp:posOffset>
            </wp:positionH>
            <wp:positionV relativeFrom="paragraph">
              <wp:posOffset>76835</wp:posOffset>
            </wp:positionV>
            <wp:extent cx="1457960" cy="156019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7960" cy="1560195"/>
                    </a:xfrm>
                    <a:prstGeom prst="rect"/>
                    <a:ln/>
                  </pic:spPr>
                </pic:pic>
              </a:graphicData>
            </a:graphic>
          </wp:anchor>
        </w:drawing>
      </w:r>
    </w:p>
    <w:p w:rsidR="00000000" w:rsidDel="00000000" w:rsidP="00000000" w:rsidRDefault="00000000" w:rsidRPr="00000000" w14:paraId="00000002">
      <w:pPr>
        <w:spacing w:after="0" w:before="0" w:lineRule="auto"/>
        <w:rPr/>
      </w:pPr>
      <w:r w:rsidDel="00000000" w:rsidR="00000000" w:rsidRPr="00000000">
        <w:rPr>
          <w:rtl w:val="0"/>
        </w:rPr>
      </w:r>
    </w:p>
    <w:p w:rsidR="00000000" w:rsidDel="00000000" w:rsidP="00000000" w:rsidRDefault="00000000" w:rsidRPr="00000000" w14:paraId="00000003">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   Carrera: Licenciatura en Fil</w:t>
      </w:r>
      <w:r w:rsidDel="00000000" w:rsidR="00000000" w:rsidRPr="00000000">
        <w:rPr>
          <w:rFonts w:ascii="Arial" w:cs="Arial" w:eastAsia="Arial" w:hAnsi="Arial"/>
          <w:b w:val="1"/>
          <w:sz w:val="28"/>
          <w:szCs w:val="28"/>
          <w:rtl w:val="0"/>
        </w:rPr>
        <w:t xml:space="preserve">osofía</w:t>
      </w: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r>
    </w:p>
    <w:p w:rsidR="00000000" w:rsidDel="00000000" w:rsidP="00000000" w:rsidRDefault="00000000" w:rsidRPr="00000000" w14:paraId="00000005">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   Unidad curricular: Historia de la Filosof</w:t>
      </w:r>
      <w:r w:rsidDel="00000000" w:rsidR="00000000" w:rsidRPr="00000000">
        <w:rPr>
          <w:rFonts w:ascii="Arial" w:cs="Arial" w:eastAsia="Arial" w:hAnsi="Arial"/>
          <w:b w:val="1"/>
          <w:sz w:val="28"/>
          <w:szCs w:val="28"/>
          <w:rtl w:val="0"/>
        </w:rPr>
        <w:t xml:space="preserve">ía Antigua </w:t>
      </w: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p w:rsidR="00000000" w:rsidDel="00000000" w:rsidP="00000000" w:rsidRDefault="00000000" w:rsidRPr="00000000" w14:paraId="00000007">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   Área Temática: Historia de la Filosof</w:t>
      </w:r>
      <w:r w:rsidDel="00000000" w:rsidR="00000000" w:rsidRPr="00000000">
        <w:rPr>
          <w:rFonts w:ascii="Arial" w:cs="Arial" w:eastAsia="Arial" w:hAnsi="Arial"/>
          <w:b w:val="1"/>
          <w:sz w:val="28"/>
          <w:szCs w:val="28"/>
          <w:rtl w:val="0"/>
        </w:rPr>
        <w:t xml:space="preserve">ía </w:t>
      </w:r>
      <w:r w:rsidDel="00000000" w:rsidR="00000000" w:rsidRPr="00000000">
        <w:rPr>
          <w:rtl w:val="0"/>
        </w:rPr>
      </w:r>
    </w:p>
    <w:p w:rsidR="00000000" w:rsidDel="00000000" w:rsidP="00000000" w:rsidRDefault="00000000" w:rsidRPr="00000000" w14:paraId="00000008">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                        </w:t>
      </w:r>
    </w:p>
    <w:p w:rsidR="00000000" w:rsidDel="00000000" w:rsidP="00000000" w:rsidRDefault="00000000" w:rsidRPr="00000000" w14:paraId="00000009">
      <w:pPr>
        <w:spacing w:after="0" w:before="0" w:lineRule="auto"/>
        <w:jc w:val="both"/>
        <w:rPr/>
      </w:pPr>
      <w:r w:rsidDel="00000000" w:rsidR="00000000" w:rsidRPr="00000000">
        <w:rPr>
          <w:rtl w:val="0"/>
        </w:rPr>
      </w:r>
    </w:p>
    <w:p w:rsidR="00000000" w:rsidDel="00000000" w:rsidP="00000000" w:rsidRDefault="00000000" w:rsidRPr="00000000" w14:paraId="0000000A">
      <w:pPr>
        <w:spacing w:after="0" w:before="0" w:lineRule="auto"/>
        <w:jc w:val="both"/>
        <w:rPr/>
      </w:pPr>
      <w:r w:rsidDel="00000000" w:rsidR="00000000" w:rsidRPr="00000000">
        <w:rPr>
          <w:rtl w:val="0"/>
        </w:rPr>
      </w:r>
    </w:p>
    <w:p w:rsidR="00000000" w:rsidDel="00000000" w:rsidP="00000000" w:rsidRDefault="00000000" w:rsidRPr="00000000" w14:paraId="0000000B">
      <w:pPr>
        <w:spacing w:after="0" w:before="0" w:lineRule="auto"/>
        <w:jc w:val="both"/>
        <w:rPr/>
      </w:pPr>
      <w:r w:rsidDel="00000000" w:rsidR="00000000" w:rsidRPr="00000000">
        <w:rPr>
          <w:rFonts w:ascii="Arial" w:cs="Arial" w:eastAsia="Arial" w:hAnsi="Arial"/>
          <w:b w:val="1"/>
          <w:sz w:val="28"/>
          <w:szCs w:val="28"/>
          <w:vertAlign w:val="baseline"/>
          <w:rtl w:val="0"/>
        </w:rPr>
        <w:t xml:space="preserve">Semestre: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vertAlign w:val="baseline"/>
          <w:rtl w:val="0"/>
        </w:rPr>
        <w:t xml:space="preserve">Impar</w:t>
      </w:r>
      <w:r w:rsidDel="00000000" w:rsidR="00000000" w:rsidRPr="00000000">
        <w:rPr>
          <w:rtl w:val="0"/>
        </w:rPr>
      </w:r>
    </w:p>
    <w:p w:rsidR="00000000" w:rsidDel="00000000" w:rsidP="00000000" w:rsidRDefault="00000000" w:rsidRPr="00000000" w14:paraId="0000000C">
      <w:pPr>
        <w:spacing w:after="0" w:before="0" w:lineRule="auto"/>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D">
      <w:pPr>
        <w:spacing w:after="0" w:before="0" w:lineRule="auto"/>
        <w:jc w:val="both"/>
        <w:rPr/>
      </w:pPr>
      <w:r w:rsidDel="00000000" w:rsidR="00000000" w:rsidRPr="00000000">
        <w:rPr>
          <w:rFonts w:ascii="Arial" w:cs="Arial" w:eastAsia="Arial" w:hAnsi="Arial"/>
          <w:sz w:val="22"/>
          <w:szCs w:val="22"/>
          <w:vertAlign w:val="baseline"/>
          <w:rtl w:val="0"/>
        </w:rPr>
        <w:t xml:space="preserve">La unidad curricular corresponde al primer semestre de la carrera según trayectoria sugerida por el plan de estudios:</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SI</w:t>
      </w:r>
      <w:r w:rsidDel="00000000" w:rsidR="00000000" w:rsidRPr="00000000">
        <w:rPr>
          <w:rtl w:val="0"/>
        </w:rPr>
      </w:r>
    </w:p>
    <w:p w:rsidR="00000000" w:rsidDel="00000000" w:rsidP="00000000" w:rsidRDefault="00000000" w:rsidRPr="00000000" w14:paraId="0000000E">
      <w:pPr>
        <w:spacing w:after="0" w:before="0" w:lineRule="auto"/>
        <w:jc w:val="center"/>
        <w:rPr/>
      </w:pPr>
      <w:r w:rsidDel="00000000" w:rsidR="00000000" w:rsidRPr="00000000">
        <w:rPr>
          <w:rtl w:val="0"/>
        </w:rPr>
      </w:r>
    </w:p>
    <w:p w:rsidR="00000000" w:rsidDel="00000000" w:rsidP="00000000" w:rsidRDefault="00000000" w:rsidRPr="00000000" w14:paraId="0000000F">
      <w:pPr>
        <w:spacing w:after="0" w:before="0" w:lineRule="auto"/>
        <w:jc w:val="center"/>
        <w:rPr/>
      </w:pPr>
      <w:r w:rsidDel="00000000" w:rsidR="00000000" w:rsidRPr="00000000">
        <w:rPr>
          <w:rtl w:val="0"/>
        </w:rPr>
      </w:r>
    </w:p>
    <w:tbl>
      <w:tblPr>
        <w:tblStyle w:val="Table1"/>
        <w:tblW w:w="9990.0" w:type="dxa"/>
        <w:jc w:val="left"/>
        <w:tblInd w:w="-113.0" w:type="dxa"/>
        <w:tblBorders>
          <w:bottom w:color="000001" w:space="0" w:sz="4" w:val="single"/>
          <w:right w:color="000001" w:space="0" w:sz="4" w:val="single"/>
          <w:insideH w:color="000001" w:space="0" w:sz="4" w:val="single"/>
          <w:insideV w:color="000001" w:space="0" w:sz="4" w:val="single"/>
        </w:tblBorders>
        <w:tblLayout w:type="fixed"/>
        <w:tblLook w:val="0000"/>
      </w:tblPr>
      <w:tblGrid>
        <w:gridCol w:w="2475"/>
        <w:gridCol w:w="1965"/>
        <w:gridCol w:w="2730"/>
        <w:gridCol w:w="2820"/>
        <w:tblGridChange w:id="0">
          <w:tblGrid>
            <w:gridCol w:w="2475"/>
            <w:gridCol w:w="1965"/>
            <w:gridCol w:w="2730"/>
            <w:gridCol w:w="2820"/>
          </w:tblGrid>
        </w:tblGridChange>
      </w:tblGrid>
      <w:tr>
        <w:trPr>
          <w:cantSplit w:val="0"/>
          <w:trHeight w:val="380" w:hRule="atLeast"/>
          <w:tblHeader w:val="0"/>
        </w:trPr>
        <w:tc>
          <w:tcPr>
            <w:tcBorders>
              <w:bottom w:color="000001" w:space="0" w:sz="4" w:val="single"/>
              <w:right w:color="000001" w:space="0" w:sz="4" w:val="single"/>
            </w:tcBorders>
            <w:shd w:fill="auto" w:val="clear"/>
          </w:tcPr>
          <w:p w:rsidR="00000000" w:rsidDel="00000000" w:rsidP="00000000" w:rsidRDefault="00000000" w:rsidRPr="00000000" w14:paraId="00000010">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1">
            <w:pPr>
              <w:keepNext w:val="0"/>
              <w:keepLines w:val="0"/>
              <w:widowControl w:val="0"/>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Cargo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2">
            <w:pPr>
              <w:widowControl w:val="0"/>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Nombre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3">
            <w:pPr>
              <w:keepNext w:val="0"/>
              <w:keepLines w:val="0"/>
              <w:widowControl w:val="0"/>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Departamento/Sección</w:t>
            </w:r>
          </w:p>
        </w:tc>
      </w:tr>
      <w:tr>
        <w:trPr>
          <w:cantSplit w:val="0"/>
          <w:trHeight w:val="6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4">
            <w:pPr>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Responsable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5">
            <w:pPr>
              <w:keepNext w:val="0"/>
              <w:keepLines w:val="0"/>
              <w:widowControl w:val="0"/>
              <w:spacing w:after="0" w:before="0" w:line="240" w:lineRule="auto"/>
              <w:ind w:left="0" w:right="0" w:firstLine="0"/>
              <w:jc w:val="center"/>
              <w:rPr/>
            </w:pPr>
            <w:r w:rsidDel="00000000" w:rsidR="00000000" w:rsidRPr="00000000">
              <w:rPr>
                <w:rtl w:val="0"/>
              </w:rPr>
              <w:t xml:space="preserve">Prof. Adjunto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6">
            <w:pPr>
              <w:keepNext w:val="0"/>
              <w:keepLines w:val="0"/>
              <w:widowControl w:val="0"/>
              <w:spacing w:after="0" w:before="0" w:line="240" w:lineRule="auto"/>
              <w:ind w:left="0" w:right="0" w:firstLine="0"/>
              <w:jc w:val="center"/>
              <w:rPr/>
            </w:pPr>
            <w:r w:rsidDel="00000000" w:rsidR="00000000" w:rsidRPr="00000000">
              <w:rPr>
                <w:rtl w:val="0"/>
              </w:rPr>
              <w:t xml:space="preserve">Adrián Castillo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7">
            <w:pPr>
              <w:keepNext w:val="0"/>
              <w:keepLines w:val="0"/>
              <w:widowControl w:val="0"/>
              <w:spacing w:after="0" w:before="0" w:line="240" w:lineRule="auto"/>
              <w:ind w:left="0" w:right="0" w:firstLine="0"/>
              <w:jc w:val="center"/>
              <w:rPr/>
            </w:pPr>
            <w:r w:rsidDel="00000000" w:rsidR="00000000" w:rsidRPr="00000000">
              <w:rPr>
                <w:rtl w:val="0"/>
              </w:rPr>
              <w:t xml:space="preserve">Historia de la Filosofía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9">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A">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B">
            <w:pPr>
              <w:keepNext w:val="0"/>
              <w:keepLines w:val="0"/>
              <w:widowControl w:val="0"/>
              <w:spacing w:after="0" w:before="0" w:line="240" w:lineRule="auto"/>
              <w:ind w:left="0" w:right="0" w:firstLine="0"/>
              <w:jc w:val="center"/>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C">
            <w:pPr>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Encargado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D">
            <w:pPr>
              <w:keepNext w:val="0"/>
              <w:keepLines w:val="0"/>
              <w:widowControl w:val="0"/>
              <w:spacing w:after="0" w:before="0" w:line="240" w:lineRule="auto"/>
              <w:ind w:left="0" w:right="0" w:firstLine="0"/>
              <w:jc w:val="center"/>
              <w:rPr/>
            </w:pPr>
            <w:r w:rsidDel="00000000" w:rsidR="00000000" w:rsidRPr="00000000">
              <w:rPr>
                <w:rtl w:val="0"/>
              </w:rPr>
              <w:t xml:space="preserve">Prof. Adjunto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E">
            <w:pPr>
              <w:keepNext w:val="0"/>
              <w:keepLines w:val="0"/>
              <w:widowControl w:val="0"/>
              <w:spacing w:after="0" w:before="0" w:line="240" w:lineRule="auto"/>
              <w:ind w:left="0" w:right="0" w:firstLine="0"/>
              <w:jc w:val="center"/>
              <w:rPr/>
            </w:pPr>
            <w:r w:rsidDel="00000000" w:rsidR="00000000" w:rsidRPr="00000000">
              <w:rPr>
                <w:rtl w:val="0"/>
              </w:rPr>
              <w:t xml:space="preserve">Adrián Castillo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F">
            <w:pPr>
              <w:keepNext w:val="0"/>
              <w:keepLines w:val="0"/>
              <w:widowControl w:val="0"/>
              <w:spacing w:after="0" w:before="0" w:line="240" w:lineRule="auto"/>
              <w:ind w:left="0" w:right="0" w:firstLine="0"/>
              <w:jc w:val="center"/>
              <w:rPr/>
            </w:pPr>
            <w:r w:rsidDel="00000000" w:rsidR="00000000" w:rsidRPr="00000000">
              <w:rPr>
                <w:rtl w:val="0"/>
              </w:rPr>
              <w:t xml:space="preserve">Historia de la Filosofía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1">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2">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3">
            <w:pPr>
              <w:keepNext w:val="0"/>
              <w:keepLines w:val="0"/>
              <w:widowControl w:val="0"/>
              <w:spacing w:after="0" w:before="0" w:line="240" w:lineRule="auto"/>
              <w:ind w:left="0" w:right="0" w:firstLine="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5">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6">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7">
            <w:pPr>
              <w:keepNext w:val="0"/>
              <w:keepLines w:val="0"/>
              <w:widowControl w:val="0"/>
              <w:spacing w:after="0" w:before="0" w:line="240" w:lineRule="auto"/>
              <w:ind w:left="0" w:right="0" w:firstLine="0"/>
              <w:jc w:val="center"/>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8">
            <w:pPr>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Otros participantes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9">
            <w:pPr>
              <w:keepNext w:val="0"/>
              <w:keepLines w:val="0"/>
              <w:widowControl w:val="0"/>
              <w:spacing w:after="0" w:before="0" w:line="240" w:lineRule="auto"/>
              <w:ind w:left="0" w:right="0" w:firstLine="0"/>
              <w:jc w:val="center"/>
              <w:rPr/>
            </w:pPr>
            <w:r w:rsidDel="00000000" w:rsidR="00000000" w:rsidRPr="00000000">
              <w:rPr>
                <w:rtl w:val="0"/>
              </w:rPr>
              <w:t xml:space="preserve">Ayudante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A">
            <w:pPr>
              <w:keepNext w:val="0"/>
              <w:keepLines w:val="0"/>
              <w:widowControl w:val="0"/>
              <w:spacing w:after="0" w:before="0" w:line="240" w:lineRule="auto"/>
              <w:ind w:left="0" w:right="0" w:firstLine="0"/>
              <w:jc w:val="center"/>
              <w:rPr/>
            </w:pPr>
            <w:r w:rsidDel="00000000" w:rsidR="00000000" w:rsidRPr="00000000">
              <w:rPr>
                <w:rtl w:val="0"/>
              </w:rPr>
              <w:t xml:space="preserve">Andrea Carriquiry</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B">
            <w:pPr>
              <w:keepNext w:val="0"/>
              <w:keepLines w:val="0"/>
              <w:widowControl w:val="0"/>
              <w:spacing w:after="0" w:before="0" w:line="240" w:lineRule="auto"/>
              <w:ind w:left="0" w:right="0" w:firstLine="0"/>
              <w:jc w:val="center"/>
              <w:rPr/>
            </w:pPr>
            <w:r w:rsidDel="00000000" w:rsidR="00000000" w:rsidRPr="00000000">
              <w:rPr>
                <w:rtl w:val="0"/>
              </w:rPr>
              <w:t xml:space="preserve">Historia de la Filosofía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D">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E">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F">
            <w:pPr>
              <w:keepNext w:val="0"/>
              <w:keepLines w:val="0"/>
              <w:widowControl w:val="0"/>
              <w:spacing w:after="0" w:before="0" w:line="240" w:lineRule="auto"/>
              <w:ind w:left="0" w:right="0" w:firstLine="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1">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2">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3">
            <w:pPr>
              <w:keepNext w:val="0"/>
              <w:keepLines w:val="0"/>
              <w:widowControl w:val="0"/>
              <w:spacing w:after="0" w:before="0" w:line="240" w:lineRule="auto"/>
              <w:ind w:left="0" w:right="0" w:firstLine="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5">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6">
            <w:pPr>
              <w:keepNext w:val="0"/>
              <w:keepLines w:val="0"/>
              <w:widowControl w:val="0"/>
              <w:spacing w:after="0" w:before="0" w:line="240" w:lineRule="auto"/>
              <w:ind w:left="0" w:right="0" w:firstLine="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7">
            <w:pPr>
              <w:keepNext w:val="0"/>
              <w:keepLines w:val="0"/>
              <w:widowControl w:val="0"/>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38">
      <w:pPr>
        <w:spacing w:after="0" w:before="0" w:lineRule="auto"/>
        <w:jc w:val="both"/>
        <w:rPr/>
      </w:pPr>
      <w:r w:rsidDel="00000000" w:rsidR="00000000" w:rsidRPr="00000000">
        <w:rPr>
          <w:rtl w:val="0"/>
        </w:rPr>
      </w:r>
    </w:p>
    <w:p w:rsidR="00000000" w:rsidDel="00000000" w:rsidP="00000000" w:rsidRDefault="00000000" w:rsidRPr="00000000" w14:paraId="00000039">
      <w:pPr>
        <w:spacing w:after="0" w:before="0" w:lineRule="auto"/>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El total de Créditos corresponde a:</w:t>
      </w:r>
    </w:p>
    <w:tbl>
      <w:tblPr>
        <w:tblStyle w:val="Table2"/>
        <w:tblW w:w="6930.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074"/>
        <w:gridCol w:w="3856"/>
        <w:tblGridChange w:id="0">
          <w:tblGrid>
            <w:gridCol w:w="3074"/>
            <w:gridCol w:w="3856"/>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A">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Carga horaria presencial</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B">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rtl w:val="0"/>
              </w:rPr>
              <w:t xml:space="preserve">96</w:t>
            </w:r>
            <w:r w:rsidDel="00000000" w:rsidR="00000000" w:rsidRPr="00000000">
              <w:rPr>
                <w:rFonts w:ascii="Arial" w:cs="Arial" w:eastAsia="Arial" w:hAnsi="Arial"/>
                <w:b w:val="1"/>
                <w:sz w:val="24"/>
                <w:szCs w:val="24"/>
                <w:vertAlign w:val="baseline"/>
                <w:rtl w:val="0"/>
              </w:rPr>
              <w:t xml:space="preserve"> horas</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C">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Trabajos domiciliarios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D">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E">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Plataforma EVA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F">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SI</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0">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Trabajos de campo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1">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2">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Monografía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3">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rtl w:val="0"/>
              </w:rPr>
              <w:t xml:space="preserve">NO</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4">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Otros (describir)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5">
            <w:pPr>
              <w:spacing w:after="0" w:before="0" w:lineRule="auto"/>
              <w:jc w:val="both"/>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6">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TOTAL DE CRÉDITOS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spacing w:after="0" w:before="0" w:lineRule="auto"/>
              <w:jc w:val="both"/>
              <w:rPr/>
            </w:pPr>
            <w:r w:rsidDel="00000000" w:rsidR="00000000" w:rsidRPr="00000000">
              <w:rPr>
                <w:rtl w:val="0"/>
              </w:rPr>
              <w:t xml:space="preserve">13</w:t>
            </w:r>
          </w:p>
        </w:tc>
      </w:tr>
    </w:tbl>
    <w:p w:rsidR="00000000" w:rsidDel="00000000" w:rsidP="00000000" w:rsidRDefault="00000000" w:rsidRPr="00000000" w14:paraId="00000048">
      <w:pPr>
        <w:spacing w:after="0" w:before="0" w:lineRule="auto"/>
        <w:rPr/>
      </w:pPr>
      <w:r w:rsidDel="00000000" w:rsidR="00000000" w:rsidRPr="00000000">
        <w:rPr>
          <w:rtl w:val="0"/>
        </w:rPr>
      </w:r>
    </w:p>
    <w:tbl>
      <w:tblPr>
        <w:tblStyle w:val="Table3"/>
        <w:tblW w:w="10114.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5057"/>
        <w:gridCol w:w="5057"/>
        <w:tblGridChange w:id="0">
          <w:tblGrid>
            <w:gridCol w:w="5057"/>
            <w:gridCol w:w="5057"/>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9">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Permite exoneración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A">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SI</w:t>
            </w:r>
          </w:p>
        </w:tc>
      </w:tr>
    </w:tbl>
    <w:p w:rsidR="00000000" w:rsidDel="00000000" w:rsidP="00000000" w:rsidRDefault="00000000" w:rsidRPr="00000000" w14:paraId="0000004B">
      <w:pPr>
        <w:spacing w:after="0" w:before="0" w:lineRule="auto"/>
        <w:rPr/>
      </w:pPr>
      <w:r w:rsidDel="00000000" w:rsidR="00000000" w:rsidRPr="00000000">
        <w:rPr>
          <w:rtl w:val="0"/>
        </w:rPr>
      </w:r>
    </w:p>
    <w:p w:rsidR="00000000" w:rsidDel="00000000" w:rsidP="00000000" w:rsidRDefault="00000000" w:rsidRPr="00000000" w14:paraId="0000004C">
      <w:pPr>
        <w:spacing w:after="0" w:before="0" w:lineRule="auto"/>
        <w:jc w:val="left"/>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Modalidad de dictado: </w:t>
      </w:r>
    </w:p>
    <w:tbl>
      <w:tblPr>
        <w:tblStyle w:val="Table4"/>
        <w:tblW w:w="9972.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985"/>
        <w:gridCol w:w="4987"/>
        <w:tblGridChange w:id="0">
          <w:tblGrid>
            <w:gridCol w:w="4985"/>
            <w:gridCol w:w="498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Íntegramente presencial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SI</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Íntegramente virtual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Mixto (aclarar cantidad de instancias presenciales por mes)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53">
      <w:pPr>
        <w:spacing w:after="0" w:before="0" w:lineRule="auto"/>
        <w:jc w:val="left"/>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54">
      <w:pPr>
        <w:spacing w:after="0" w:before="0" w:lineRule="auto"/>
        <w:jc w:val="left"/>
        <w:rPr>
          <w:rFonts w:ascii="Arial" w:cs="Arial" w:eastAsia="Arial" w:hAnsi="Arial"/>
          <w:b w:val="1"/>
          <w:sz w:val="24"/>
          <w:szCs w:val="24"/>
          <w:vertAlign w:val="baseline"/>
        </w:rPr>
      </w:pPr>
      <w:r w:rsidDel="00000000" w:rsidR="00000000" w:rsidRPr="00000000">
        <w:rPr>
          <w:rFonts w:ascii="Arial" w:cs="Arial" w:eastAsia="Arial" w:hAnsi="Arial"/>
          <w:b w:val="1"/>
          <w:sz w:val="28"/>
          <w:szCs w:val="28"/>
          <w:vertAlign w:val="baseline"/>
          <w:rtl w:val="0"/>
        </w:rPr>
        <w:t xml:space="preserve">Propuesta metodológica del curso: </w:t>
      </w:r>
      <w:r w:rsidDel="00000000" w:rsidR="00000000" w:rsidRPr="00000000">
        <w:rPr>
          <w:rtl w:val="0"/>
        </w:rPr>
      </w:r>
    </w:p>
    <w:p w:rsidR="00000000" w:rsidDel="00000000" w:rsidP="00000000" w:rsidRDefault="00000000" w:rsidRPr="00000000" w14:paraId="00000055">
      <w:pPr>
        <w:spacing w:after="0" w:before="0" w:lineRule="auto"/>
        <w:jc w:val="left"/>
        <w:rPr>
          <w:rFonts w:ascii="Arial" w:cs="Arial" w:eastAsia="Arial" w:hAnsi="Arial"/>
          <w:b w:val="0"/>
          <w:sz w:val="24"/>
          <w:szCs w:val="24"/>
          <w:vertAlign w:val="baseline"/>
        </w:rPr>
      </w:pPr>
      <w:r w:rsidDel="00000000" w:rsidR="00000000" w:rsidRPr="00000000">
        <w:rPr>
          <w:rtl w:val="0"/>
        </w:rPr>
      </w:r>
    </w:p>
    <w:tbl>
      <w:tblPr>
        <w:tblStyle w:val="Table5"/>
        <w:tblW w:w="9125.0" w:type="dxa"/>
        <w:jc w:val="left"/>
        <w:tblInd w:w="-221.00000000000006" w:type="dxa"/>
        <w:tblBorders>
          <w:top w:color="000001" w:space="0" w:sz="4" w:val="single"/>
          <w:left w:color="000001" w:space="0" w:sz="4" w:val="single"/>
          <w:bottom w:color="000001" w:space="0" w:sz="4" w:val="single"/>
          <w:insideH w:color="000001" w:space="0" w:sz="4" w:val="single"/>
        </w:tblBorders>
        <w:tblLayout w:type="fixed"/>
        <w:tblLook w:val="0000"/>
      </w:tblPr>
      <w:tblGrid>
        <w:gridCol w:w="4088"/>
        <w:gridCol w:w="2325"/>
        <w:gridCol w:w="2712"/>
        <w:tblGridChange w:id="0">
          <w:tblGrid>
            <w:gridCol w:w="4088"/>
            <w:gridCol w:w="2325"/>
            <w:gridCol w:w="2712"/>
          </w:tblGrid>
        </w:tblGridChange>
      </w:tblGrid>
      <w:tr>
        <w:trPr>
          <w:cantSplit w:val="0"/>
          <w:trHeight w:val="57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6">
            <w:pPr>
              <w:spacing w:after="0" w:before="0" w:lineRule="auto"/>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Teórico – asistencia libre</w:t>
            </w:r>
          </w:p>
        </w:tc>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7">
            <w:pPr>
              <w:spacing w:after="0" w:before="0" w:lineRule="auto"/>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SI</w:t>
            </w:r>
          </w:p>
        </w:tc>
      </w:tr>
    </w:tbl>
    <w:p w:rsidR="00000000" w:rsidDel="00000000" w:rsidP="00000000" w:rsidRDefault="00000000" w:rsidRPr="00000000" w14:paraId="00000059">
      <w:pPr>
        <w:spacing w:after="0" w:before="0" w:lineRule="auto"/>
        <w:rPr/>
      </w:pPr>
      <w:r w:rsidDel="00000000" w:rsidR="00000000" w:rsidRPr="00000000">
        <w:rPr>
          <w:rtl w:val="0"/>
        </w:rPr>
      </w:r>
    </w:p>
    <w:p w:rsidR="00000000" w:rsidDel="00000000" w:rsidP="00000000" w:rsidRDefault="00000000" w:rsidRPr="00000000" w14:paraId="0000005A">
      <w:pPr>
        <w:spacing w:after="0" w:before="0" w:lineRule="auto"/>
        <w:rPr/>
      </w:pPr>
      <w:r w:rsidDel="00000000" w:rsidR="00000000" w:rsidRPr="00000000">
        <w:rPr>
          <w:rtl w:val="0"/>
        </w:rPr>
      </w:r>
    </w:p>
    <w:tbl>
      <w:tblPr>
        <w:tblStyle w:val="Table6"/>
        <w:tblW w:w="10605.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470"/>
        <w:gridCol w:w="1064"/>
        <w:gridCol w:w="5071"/>
        <w:tblGridChange w:id="0">
          <w:tblGrid>
            <w:gridCol w:w="4470"/>
            <w:gridCol w:w="1064"/>
            <w:gridCol w:w="5071"/>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B">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Unidad curricular ofertada como electiva para otros servicios universitarios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C">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SI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Cupos, servicios y condiciones: </w:t>
            </w:r>
            <w:r w:rsidDel="00000000" w:rsidR="00000000" w:rsidRPr="00000000">
              <w:rPr>
                <w:rFonts w:ascii="Arial" w:cs="Arial" w:eastAsia="Arial" w:hAnsi="Arial"/>
                <w:b w:val="1"/>
                <w:sz w:val="28"/>
                <w:szCs w:val="28"/>
                <w:rtl w:val="0"/>
              </w:rPr>
              <w:t xml:space="preserve">20</w:t>
            </w:r>
            <w:r w:rsidDel="00000000" w:rsidR="00000000" w:rsidRPr="00000000">
              <w:rPr>
                <w:rtl w:val="0"/>
              </w:rPr>
            </w:r>
          </w:p>
        </w:tc>
      </w:tr>
    </w:tbl>
    <w:p w:rsidR="00000000" w:rsidDel="00000000" w:rsidP="00000000" w:rsidRDefault="00000000" w:rsidRPr="00000000" w14:paraId="0000005E">
      <w:pPr>
        <w:spacing w:after="0" w:before="0" w:lineRule="auto"/>
        <w:rPr/>
      </w:pPr>
      <w:r w:rsidDel="00000000" w:rsidR="00000000" w:rsidRPr="00000000">
        <w:rPr>
          <w:rtl w:val="0"/>
        </w:rPr>
      </w:r>
    </w:p>
    <w:p w:rsidR="00000000" w:rsidDel="00000000" w:rsidP="00000000" w:rsidRDefault="00000000" w:rsidRPr="00000000" w14:paraId="0000005F">
      <w:pPr>
        <w:spacing w:after="0" w:before="0" w:lineRule="auto"/>
        <w:rPr>
          <w:rFonts w:ascii="Arial" w:cs="Arial" w:eastAsia="Arial" w:hAnsi="Arial"/>
          <w:b w:val="1"/>
          <w:sz w:val="28"/>
          <w:szCs w:val="28"/>
          <w:u w:val="single"/>
          <w:vertAlign w:val="baseline"/>
        </w:rPr>
      </w:pPr>
      <w:r w:rsidDel="00000000" w:rsidR="00000000" w:rsidRPr="00000000">
        <w:rPr>
          <w:rtl w:val="0"/>
        </w:rPr>
      </w:r>
    </w:p>
    <w:p w:rsidR="00000000" w:rsidDel="00000000" w:rsidP="00000000" w:rsidRDefault="00000000" w:rsidRPr="00000000" w14:paraId="00000060">
      <w:pPr>
        <w:spacing w:after="0" w:before="0" w:lineRule="auto"/>
        <w:rPr>
          <w:rFonts w:ascii="Arial" w:cs="Arial" w:eastAsia="Arial" w:hAnsi="Arial"/>
          <w:b w:val="1"/>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Forma de evaluación y Modalidad:</w:t>
      </w:r>
    </w:p>
    <w:p w:rsidR="00000000" w:rsidDel="00000000" w:rsidP="00000000" w:rsidRDefault="00000000" w:rsidRPr="00000000" w14:paraId="00000061">
      <w:pPr>
        <w:spacing w:after="0" w:before="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2">
      <w:pPr>
        <w:spacing w:after="0" w:before="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Modalidad presencial </w:t>
      </w:r>
    </w:p>
    <w:p w:rsidR="00000000" w:rsidDel="00000000" w:rsidP="00000000" w:rsidRDefault="00000000" w:rsidRPr="00000000" w14:paraId="00000063">
      <w:pPr>
        <w:spacing w:after="0" w:before="0" w:lineRule="auto"/>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 realizarán dos pruebas parciales, una a mediados y otra a finales del curso.</w:t>
      </w:r>
    </w:p>
    <w:p w:rsidR="00000000" w:rsidDel="00000000" w:rsidP="00000000" w:rsidRDefault="00000000" w:rsidRPr="00000000" w14:paraId="0000006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la</w:t>
      </w:r>
      <w:r w:rsidDel="00000000" w:rsidR="00000000" w:rsidRPr="00000000">
        <w:rPr>
          <w:rFonts w:ascii="Arial" w:cs="Arial" w:eastAsia="Arial" w:hAnsi="Arial"/>
          <w:b w:val="1"/>
          <w:sz w:val="24"/>
          <w:szCs w:val="24"/>
          <w:vertAlign w:val="baseline"/>
          <w:rtl w:val="0"/>
        </w:rPr>
        <w:t xml:space="preserve"> aprobación directa</w:t>
      </w:r>
      <w:r w:rsidDel="00000000" w:rsidR="00000000" w:rsidRPr="00000000">
        <w:rPr>
          <w:rFonts w:ascii="Arial" w:cs="Arial" w:eastAsia="Arial" w:hAnsi="Arial"/>
          <w:sz w:val="24"/>
          <w:szCs w:val="24"/>
          <w:vertAlign w:val="baseline"/>
          <w:rtl w:val="0"/>
        </w:rPr>
        <w:t xml:space="preserve"> del curso se requerirá una calificación final de Bueno (6, B.B.B.) o superior. No se podrá tener menos de Aceptable (3) en ninguna de dichas actividades. En caso de que el estudiante no alcanzare la calificación mínima de Aceptable (3) en una sola de las evaluaciones durante el curso -cualquiera que esta evaluación fuere- ya sea para la obtención del derecho a examen o para la aprobación directa, tendrá derecho a la realización de una prueba de recuperación, que sustituirá a la referida instancia de evaluación.</w:t>
      </w:r>
    </w:p>
    <w:p w:rsidR="00000000" w:rsidDel="00000000" w:rsidP="00000000" w:rsidRDefault="00000000" w:rsidRPr="00000000" w14:paraId="0000006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vertAlign w:val="baseline"/>
          <w:rtl w:val="0"/>
        </w:rPr>
        <w:t xml:space="preserve">Para la obtención del derecho a </w:t>
      </w:r>
      <w:r w:rsidDel="00000000" w:rsidR="00000000" w:rsidRPr="00000000">
        <w:rPr>
          <w:rFonts w:ascii="Arial" w:cs="Arial" w:eastAsia="Arial" w:hAnsi="Arial"/>
          <w:b w:val="1"/>
          <w:sz w:val="24"/>
          <w:szCs w:val="24"/>
          <w:vertAlign w:val="baseline"/>
          <w:rtl w:val="0"/>
        </w:rPr>
        <w:t xml:space="preserve">examen</w:t>
      </w:r>
      <w:r w:rsidDel="00000000" w:rsidR="00000000" w:rsidRPr="00000000">
        <w:rPr>
          <w:rFonts w:ascii="Arial" w:cs="Arial" w:eastAsia="Arial" w:hAnsi="Arial"/>
          <w:sz w:val="24"/>
          <w:szCs w:val="24"/>
          <w:vertAlign w:val="baseline"/>
          <w:rtl w:val="0"/>
        </w:rPr>
        <w:t xml:space="preserve"> se requerirá una calificación final de Aceptable (3, R.R.R) o superior. No se podrá tener menos de Aceptable (3) en ninguna de dichas actividades. Una calificación final inferior a Aceptable conducirá a la repetición del curso. </w:t>
      </w:r>
      <w:r w:rsidDel="00000000" w:rsidR="00000000" w:rsidRPr="00000000">
        <w:rPr>
          <w:rtl w:val="0"/>
        </w:rPr>
      </w:r>
    </w:p>
    <w:p w:rsidR="00000000" w:rsidDel="00000000" w:rsidP="00000000" w:rsidRDefault="00000000" w:rsidRPr="00000000" w14:paraId="00000069">
      <w:pPr>
        <w:spacing w:after="0" w:before="0" w:lineRule="auto"/>
        <w:rPr/>
      </w:pPr>
      <w:r w:rsidDel="00000000" w:rsidR="00000000" w:rsidRPr="00000000">
        <w:rPr>
          <w:rtl w:val="0"/>
        </w:rPr>
      </w:r>
    </w:p>
    <w:p w:rsidR="00000000" w:rsidDel="00000000" w:rsidP="00000000" w:rsidRDefault="00000000" w:rsidRPr="00000000" w14:paraId="0000006A">
      <w:pPr>
        <w:spacing w:after="0" w:before="0" w:lineRule="auto"/>
        <w:rPr/>
      </w:pPr>
      <w:r w:rsidDel="00000000" w:rsidR="00000000" w:rsidRPr="00000000">
        <w:rPr>
          <w:rtl w:val="0"/>
        </w:rPr>
      </w:r>
    </w:p>
    <w:p w:rsidR="00000000" w:rsidDel="00000000" w:rsidP="00000000" w:rsidRDefault="00000000" w:rsidRPr="00000000" w14:paraId="0000006B">
      <w:pPr>
        <w:spacing w:after="0" w:before="0" w:lineRule="auto"/>
        <w:rPr>
          <w:rFonts w:ascii="Arial" w:cs="Arial" w:eastAsia="Arial" w:hAnsi="Arial"/>
          <w:b w:val="1"/>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Conocimientos previos requeridos/recomendables:</w:t>
      </w:r>
    </w:p>
    <w:p w:rsidR="00000000" w:rsidDel="00000000" w:rsidP="00000000" w:rsidRDefault="00000000" w:rsidRPr="00000000" w14:paraId="0000006C">
      <w:pPr>
        <w:spacing w:after="0" w:before="0" w:lineRule="auto"/>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hay </w:t>
      </w:r>
      <w:r w:rsidDel="00000000" w:rsidR="00000000" w:rsidRPr="00000000">
        <w:rPr>
          <w:rFonts w:ascii="Arial" w:cs="Arial" w:eastAsia="Arial" w:hAnsi="Arial"/>
          <w:rtl w:val="0"/>
        </w:rPr>
        <w:t xml:space="preserve">conocimientos</w:t>
      </w:r>
      <w:r w:rsidDel="00000000" w:rsidR="00000000" w:rsidRPr="00000000">
        <w:rPr>
          <w:rFonts w:ascii="Arial" w:cs="Arial" w:eastAsia="Arial" w:hAnsi="Arial"/>
          <w:sz w:val="24"/>
          <w:szCs w:val="24"/>
          <w:vertAlign w:val="baseline"/>
          <w:rtl w:val="0"/>
        </w:rPr>
        <w:t xml:space="preserve"> previos requeridos. Se recomienda saber leer inglés.</w:t>
      </w:r>
    </w:p>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spacing w:after="0" w:before="0" w:lineRule="auto"/>
        <w:rPr>
          <w:u w:val="single"/>
        </w:rPr>
      </w:pPr>
      <w:r w:rsidDel="00000000" w:rsidR="00000000" w:rsidRPr="00000000">
        <w:rPr>
          <w:rFonts w:ascii="Arial" w:cs="Arial" w:eastAsia="Arial" w:hAnsi="Arial"/>
          <w:b w:val="1"/>
          <w:sz w:val="28"/>
          <w:szCs w:val="28"/>
          <w:u w:val="single"/>
          <w:vertAlign w:val="baseline"/>
          <w:rtl w:val="0"/>
        </w:rPr>
        <w:t xml:space="preserve">Objetivos:</w:t>
      </w:r>
      <w:r w:rsidDel="00000000" w:rsidR="00000000" w:rsidRPr="00000000">
        <w:rPr>
          <w:rtl w:val="0"/>
        </w:rPr>
      </w:r>
    </w:p>
    <w:p w:rsidR="00000000" w:rsidDel="00000000" w:rsidP="00000000" w:rsidRDefault="00000000" w:rsidRPr="00000000" w14:paraId="0000007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Introducir al estudiante en los principales temas, métodos y problemáticas de la filosofía griega antigua. Se hará particular énfasis en la lectura directa de los textos filosóficos con la finalidad de proporcionar al estudiante las herramientas necesarias para poder realizar en el futuro lecturas y análisis competentes por cuenta propia.</w:t>
      </w:r>
    </w:p>
    <w:p w:rsidR="00000000" w:rsidDel="00000000" w:rsidP="00000000" w:rsidRDefault="00000000" w:rsidRPr="00000000" w14:paraId="00000071">
      <w:pPr>
        <w:spacing w:after="0" w:before="0" w:lineRule="auto"/>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72">
      <w:pPr>
        <w:spacing w:after="0" w:before="0" w:lineRule="auto"/>
        <w:rPr>
          <w:rFonts w:ascii="Arial" w:cs="Arial" w:eastAsia="Arial" w:hAnsi="Arial"/>
          <w:b w:val="1"/>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Contenidos:</w:t>
      </w:r>
    </w:p>
    <w:p w:rsidR="00000000" w:rsidDel="00000000" w:rsidP="00000000" w:rsidRDefault="00000000" w:rsidRPr="00000000" w14:paraId="00000073">
      <w:pPr>
        <w:spacing w:after="0" w:before="0" w:lineRule="auto"/>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mallCaps w:val="0"/>
          <w:sz w:val="24"/>
          <w:szCs w:val="24"/>
          <w:vertAlign w:val="baseline"/>
        </w:rPr>
      </w:pPr>
      <w:r w:rsidDel="00000000" w:rsidR="00000000" w:rsidRPr="00000000">
        <w:rPr>
          <w:rFonts w:ascii="Arial" w:cs="Arial" w:eastAsia="Arial" w:hAnsi="Arial"/>
          <w:b w:val="1"/>
          <w:smallCaps w:val="0"/>
          <w:sz w:val="24"/>
          <w:szCs w:val="24"/>
          <w:vertAlign w:val="baseline"/>
          <w:rtl w:val="0"/>
        </w:rPr>
        <w:t xml:space="preserve">1. Filosofía Presocrática</w:t>
      </w:r>
      <w:r w:rsidDel="00000000" w:rsidR="00000000" w:rsidRPr="00000000">
        <w:rPr>
          <w:rtl w:val="0"/>
        </w:rPr>
      </w:r>
    </w:p>
    <w:p w:rsidR="00000000" w:rsidDel="00000000" w:rsidP="00000000" w:rsidRDefault="00000000" w:rsidRPr="00000000" w14:paraId="00000075">
      <w:pPr>
        <w:numPr>
          <w:ilvl w:val="0"/>
          <w:numId w:val="1"/>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smallCaps w:val="0"/>
          <w:sz w:val="24"/>
          <w:szCs w:val="24"/>
          <w:vertAlign w:val="baseline"/>
          <w:rtl w:val="0"/>
        </w:rPr>
        <w:t xml:space="preserve">El mito cosmogónico y los orígenes de la especulación sobre la naturaleza.</w:t>
      </w:r>
    </w:p>
    <w:p w:rsidR="00000000" w:rsidDel="00000000" w:rsidP="00000000" w:rsidRDefault="00000000" w:rsidRPr="00000000" w14:paraId="00000076">
      <w:pPr>
        <w:numPr>
          <w:ilvl w:val="0"/>
          <w:numId w:val="1"/>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smallCaps w:val="0"/>
          <w:sz w:val="24"/>
          <w:szCs w:val="24"/>
          <w:vertAlign w:val="baseline"/>
          <w:rtl w:val="0"/>
        </w:rPr>
        <w:t xml:space="preserve">Cosmos, naturaleza, logos.</w:t>
      </w:r>
    </w:p>
    <w:p w:rsidR="00000000" w:rsidDel="00000000" w:rsidP="00000000" w:rsidRDefault="00000000" w:rsidRPr="00000000" w14:paraId="00000077">
      <w:pPr>
        <w:numPr>
          <w:ilvl w:val="0"/>
          <w:numId w:val="1"/>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smallCaps w:val="0"/>
          <w:sz w:val="24"/>
          <w:szCs w:val="24"/>
          <w:vertAlign w:val="baseline"/>
          <w:rtl w:val="0"/>
        </w:rPr>
        <w:t xml:space="preserve">Principios del movimiento: elementos, opuestos.</w:t>
      </w:r>
    </w:p>
    <w:p w:rsidR="00000000" w:rsidDel="00000000" w:rsidP="00000000" w:rsidRDefault="00000000" w:rsidRPr="00000000" w14:paraId="00000078">
      <w:pPr>
        <w:numPr>
          <w:ilvl w:val="0"/>
          <w:numId w:val="1"/>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smallCaps w:val="0"/>
          <w:sz w:val="24"/>
          <w:szCs w:val="24"/>
          <w:vertAlign w:val="baseline"/>
          <w:rtl w:val="0"/>
        </w:rPr>
        <w:t xml:space="preserve">El </w:t>
      </w:r>
      <w:r w:rsidDel="00000000" w:rsidR="00000000" w:rsidRPr="00000000">
        <w:rPr>
          <w:rFonts w:ascii="Arial" w:cs="Arial" w:eastAsia="Arial" w:hAnsi="Arial"/>
          <w:i w:val="1"/>
          <w:smallCaps w:val="0"/>
          <w:sz w:val="24"/>
          <w:szCs w:val="24"/>
          <w:vertAlign w:val="baseline"/>
          <w:rtl w:val="0"/>
        </w:rPr>
        <w:t xml:space="preserve">élenkhos</w:t>
      </w:r>
      <w:r w:rsidDel="00000000" w:rsidR="00000000" w:rsidRPr="00000000">
        <w:rPr>
          <w:rFonts w:ascii="Arial" w:cs="Arial" w:eastAsia="Arial" w:hAnsi="Arial"/>
          <w:smallCaps w:val="0"/>
          <w:sz w:val="24"/>
          <w:szCs w:val="24"/>
          <w:vertAlign w:val="baseline"/>
          <w:rtl w:val="0"/>
        </w:rPr>
        <w:t xml:space="preserve"> de Parménides.</w:t>
      </w:r>
    </w:p>
    <w:p w:rsidR="00000000" w:rsidDel="00000000" w:rsidP="00000000" w:rsidRDefault="00000000" w:rsidRPr="00000000" w14:paraId="00000079">
      <w:pPr>
        <w:numPr>
          <w:ilvl w:val="0"/>
          <w:numId w:val="1"/>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smallCaps w:val="0"/>
          <w:sz w:val="24"/>
          <w:szCs w:val="24"/>
          <w:vertAlign w:val="baseline"/>
          <w:rtl w:val="0"/>
        </w:rPr>
        <w:t xml:space="preserve">Sistemas post-parmenídeos.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b w:val="1"/>
          <w:smallCaps w:val="0"/>
          <w:sz w:val="24"/>
          <w:szCs w:val="24"/>
          <w:vertAlign w:val="baseline"/>
        </w:rPr>
      </w:pPr>
      <w:r w:rsidDel="00000000" w:rsidR="00000000" w:rsidRPr="00000000">
        <w:rPr>
          <w:rFonts w:ascii="Arial" w:cs="Arial" w:eastAsia="Arial" w:hAnsi="Arial"/>
          <w:b w:val="1"/>
          <w:smallCaps w:val="0"/>
          <w:sz w:val="24"/>
          <w:szCs w:val="24"/>
          <w:vertAlign w:val="baseline"/>
          <w:rtl w:val="0"/>
        </w:rPr>
        <w:t xml:space="preserve">2. Sofística &amp; Sócrates</w:t>
      </w:r>
    </w:p>
    <w:p w:rsidR="00000000" w:rsidDel="00000000" w:rsidP="00000000" w:rsidRDefault="00000000" w:rsidRPr="00000000" w14:paraId="0000007C">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Las instituciones de la democracia ateniense.</w:t>
      </w:r>
    </w:p>
    <w:p w:rsidR="00000000" w:rsidDel="00000000" w:rsidP="00000000" w:rsidRDefault="00000000" w:rsidRPr="00000000" w14:paraId="0000007D">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Retórica y relativismo en los sofistas.</w:t>
      </w:r>
    </w:p>
    <w:p w:rsidR="00000000" w:rsidDel="00000000" w:rsidP="00000000" w:rsidRDefault="00000000" w:rsidRPr="00000000" w14:paraId="0000007E">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“Sócrates” y el socratismo.</w:t>
      </w:r>
    </w:p>
    <w:p w:rsidR="00000000" w:rsidDel="00000000" w:rsidP="00000000" w:rsidRDefault="00000000" w:rsidRPr="00000000" w14:paraId="0000007F">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método socrático: dialéctica, </w:t>
      </w:r>
      <w:r w:rsidDel="00000000" w:rsidR="00000000" w:rsidRPr="00000000">
        <w:rPr>
          <w:rFonts w:ascii="Arial" w:cs="Arial" w:eastAsia="Arial" w:hAnsi="Arial"/>
          <w:i w:val="1"/>
          <w:sz w:val="24"/>
          <w:szCs w:val="24"/>
          <w:vertAlign w:val="baseline"/>
          <w:rtl w:val="0"/>
        </w:rPr>
        <w:t xml:space="preserve">élenkhos</w:t>
      </w:r>
      <w:r w:rsidDel="00000000" w:rsidR="00000000" w:rsidRPr="00000000">
        <w:rPr>
          <w:rFonts w:ascii="Arial" w:cs="Arial" w:eastAsia="Arial" w:hAnsi="Arial"/>
          <w:sz w:val="24"/>
          <w:szCs w:val="24"/>
          <w:vertAlign w:val="baseline"/>
          <w:rtl w:val="0"/>
        </w:rPr>
        <w:t xml:space="preserve">, definiciones.</w:t>
      </w:r>
    </w:p>
    <w:p w:rsidR="00000000" w:rsidDel="00000000" w:rsidP="00000000" w:rsidRDefault="00000000" w:rsidRPr="00000000" w14:paraId="00000080">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Algunas tesis socráticas.</w:t>
      </w:r>
    </w:p>
    <w:p w:rsidR="00000000" w:rsidDel="00000000" w:rsidP="00000000" w:rsidRDefault="00000000" w:rsidRPr="00000000" w14:paraId="0000008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b w:val="1"/>
          <w:smallCaps w:val="0"/>
          <w:sz w:val="24"/>
          <w:szCs w:val="24"/>
          <w:vertAlign w:val="baseline"/>
        </w:rPr>
      </w:pPr>
      <w:r w:rsidDel="00000000" w:rsidR="00000000" w:rsidRPr="00000000">
        <w:rPr>
          <w:rFonts w:ascii="Arial" w:cs="Arial" w:eastAsia="Arial" w:hAnsi="Arial"/>
          <w:b w:val="1"/>
          <w:smallCaps w:val="0"/>
          <w:sz w:val="24"/>
          <w:szCs w:val="24"/>
          <w:vertAlign w:val="baseline"/>
          <w:rtl w:val="0"/>
        </w:rPr>
        <w:t xml:space="preserve">3. Platón</w:t>
      </w:r>
    </w:p>
    <w:p w:rsidR="00000000" w:rsidDel="00000000" w:rsidP="00000000" w:rsidRDefault="00000000" w:rsidRPr="00000000" w14:paraId="00000083">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mallCaps w:val="0"/>
          <w:sz w:val="24"/>
          <w:szCs w:val="24"/>
          <w:vertAlign w:val="baseline"/>
          <w:rtl w:val="0"/>
        </w:rPr>
        <w:t xml:space="preserve">El p</w:t>
      </w:r>
      <w:r w:rsidDel="00000000" w:rsidR="00000000" w:rsidRPr="00000000">
        <w:rPr>
          <w:rFonts w:ascii="Arial" w:cs="Arial" w:eastAsia="Arial" w:hAnsi="Arial"/>
          <w:b w:val="0"/>
          <w:sz w:val="24"/>
          <w:szCs w:val="24"/>
          <w:vertAlign w:val="baseline"/>
          <w:rtl w:val="0"/>
        </w:rPr>
        <w:t xml:space="preserve">royecto filosófico-político de la </w:t>
      </w:r>
      <w:r w:rsidDel="00000000" w:rsidR="00000000" w:rsidRPr="00000000">
        <w:rPr>
          <w:rFonts w:ascii="Arial" w:cs="Arial" w:eastAsia="Arial" w:hAnsi="Arial"/>
          <w:b w:val="0"/>
          <w:i w:val="1"/>
          <w:sz w:val="24"/>
          <w:szCs w:val="24"/>
          <w:vertAlign w:val="baseline"/>
          <w:rtl w:val="0"/>
        </w:rPr>
        <w:t xml:space="preserve">República.</w:t>
      </w:r>
      <w:r w:rsidDel="00000000" w:rsidR="00000000" w:rsidRPr="00000000">
        <w:rPr>
          <w:rtl w:val="0"/>
        </w:rPr>
      </w:r>
    </w:p>
    <w:p w:rsidR="00000000" w:rsidDel="00000000" w:rsidP="00000000" w:rsidRDefault="00000000" w:rsidRPr="00000000" w14:paraId="00000084">
      <w:pPr>
        <w:numPr>
          <w:ilvl w:val="0"/>
          <w:numId w:val="2"/>
        </w:numPr>
        <w:ind w:left="720" w:hanging="360"/>
        <w:rPr/>
      </w:pPr>
      <w:r w:rsidDel="00000000" w:rsidR="00000000" w:rsidRPr="00000000">
        <w:rPr>
          <w:rFonts w:ascii="Arial" w:cs="Arial" w:eastAsia="Arial" w:hAnsi="Arial"/>
          <w:b w:val="0"/>
          <w:sz w:val="24"/>
          <w:szCs w:val="24"/>
          <w:vertAlign w:val="baseline"/>
          <w:rtl w:val="0"/>
        </w:rPr>
        <w:t xml:space="preserve">La ps</w:t>
      </w:r>
      <w:r w:rsidDel="00000000" w:rsidR="00000000" w:rsidRPr="00000000">
        <w:rPr>
          <w:rFonts w:ascii="Arial" w:cs="Arial" w:eastAsia="Arial" w:hAnsi="Arial"/>
          <w:sz w:val="24"/>
          <w:szCs w:val="24"/>
          <w:vertAlign w:val="baseline"/>
          <w:rtl w:val="0"/>
        </w:rPr>
        <w:t xml:space="preserve">icología platónica.</w:t>
      </w:r>
      <w:r w:rsidDel="00000000" w:rsidR="00000000" w:rsidRPr="00000000">
        <w:rPr>
          <w:rtl w:val="0"/>
        </w:rPr>
      </w:r>
    </w:p>
    <w:p w:rsidR="00000000" w:rsidDel="00000000" w:rsidP="00000000" w:rsidRDefault="00000000" w:rsidRPr="00000000" w14:paraId="00000085">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teoría de las Ideas. Alegorías platónicas.</w:t>
      </w:r>
    </w:p>
    <w:p w:rsidR="00000000" w:rsidDel="00000000" w:rsidP="00000000" w:rsidRDefault="00000000" w:rsidRPr="00000000" w14:paraId="00000086">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método de división en el </w:t>
      </w:r>
      <w:r w:rsidDel="00000000" w:rsidR="00000000" w:rsidRPr="00000000">
        <w:rPr>
          <w:rFonts w:ascii="Arial" w:cs="Arial" w:eastAsia="Arial" w:hAnsi="Arial"/>
          <w:i w:val="1"/>
          <w:sz w:val="24"/>
          <w:szCs w:val="24"/>
          <w:vertAlign w:val="baseline"/>
          <w:rtl w:val="0"/>
        </w:rPr>
        <w:t xml:space="preserve">Sofista</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87">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filosofía natural del </w:t>
      </w:r>
      <w:r w:rsidDel="00000000" w:rsidR="00000000" w:rsidRPr="00000000">
        <w:rPr>
          <w:rFonts w:ascii="Arial" w:cs="Arial" w:eastAsia="Arial" w:hAnsi="Arial"/>
          <w:i w:val="1"/>
          <w:sz w:val="24"/>
          <w:szCs w:val="24"/>
          <w:vertAlign w:val="baseline"/>
          <w:rtl w:val="0"/>
        </w:rPr>
        <w:t xml:space="preserve">Timeo</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b w:val="1"/>
          <w:smallCaps w:val="0"/>
          <w:sz w:val="24"/>
          <w:szCs w:val="24"/>
          <w:vertAlign w:val="baseline"/>
        </w:rPr>
      </w:pPr>
      <w:r w:rsidDel="00000000" w:rsidR="00000000" w:rsidRPr="00000000">
        <w:rPr>
          <w:rFonts w:ascii="Arial" w:cs="Arial" w:eastAsia="Arial" w:hAnsi="Arial"/>
          <w:b w:val="1"/>
          <w:smallCaps w:val="0"/>
          <w:sz w:val="24"/>
          <w:szCs w:val="24"/>
          <w:vertAlign w:val="baseline"/>
          <w:rtl w:val="0"/>
        </w:rPr>
        <w:t xml:space="preserve">4. Aristóteles</w:t>
      </w:r>
    </w:p>
    <w:p w:rsidR="00000000" w:rsidDel="00000000" w:rsidP="00000000" w:rsidRDefault="00000000" w:rsidRPr="00000000" w14:paraId="0000008A">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El sistema de la ciencia.</w:t>
      </w:r>
    </w:p>
    <w:p w:rsidR="00000000" w:rsidDel="00000000" w:rsidP="00000000" w:rsidRDefault="00000000" w:rsidRPr="00000000" w14:paraId="0000008B">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El estudio de la naturaleza.</w:t>
      </w:r>
    </w:p>
    <w:p w:rsidR="00000000" w:rsidDel="00000000" w:rsidP="00000000" w:rsidRDefault="00000000" w:rsidRPr="00000000" w14:paraId="0000008C">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La doctrina de las categorías y la teoría de la sustancia.</w:t>
      </w:r>
    </w:p>
    <w:p w:rsidR="00000000" w:rsidDel="00000000" w:rsidP="00000000" w:rsidRDefault="00000000" w:rsidRPr="00000000" w14:paraId="0000008D">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Psicología aristotélica.</w:t>
      </w:r>
    </w:p>
    <w:p w:rsidR="00000000" w:rsidDel="00000000" w:rsidP="00000000" w:rsidRDefault="00000000" w:rsidRPr="00000000" w14:paraId="0000008E">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Metafísica y ontología.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b w:val="1"/>
          <w:smallCaps w:val="0"/>
          <w:sz w:val="24"/>
          <w:szCs w:val="24"/>
          <w:vertAlign w:val="baseline"/>
        </w:rPr>
      </w:pPr>
      <w:r w:rsidDel="00000000" w:rsidR="00000000" w:rsidRPr="00000000">
        <w:rPr>
          <w:rFonts w:ascii="Arial" w:cs="Arial" w:eastAsia="Arial" w:hAnsi="Arial"/>
          <w:b w:val="1"/>
          <w:smallCaps w:val="0"/>
          <w:sz w:val="24"/>
          <w:szCs w:val="24"/>
          <w:vertAlign w:val="baseline"/>
          <w:rtl w:val="0"/>
        </w:rPr>
        <w:t xml:space="preserve">5. Filosofía Helenística</w:t>
      </w:r>
    </w:p>
    <w:p w:rsidR="00000000" w:rsidDel="00000000" w:rsidP="00000000" w:rsidRDefault="00000000" w:rsidRPr="00000000" w14:paraId="00000091">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El problema del destino. </w:t>
      </w:r>
    </w:p>
    <w:p w:rsidR="00000000" w:rsidDel="00000000" w:rsidP="00000000" w:rsidRDefault="00000000" w:rsidRPr="00000000" w14:paraId="00000092">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El determinismo causal estoico.</w:t>
      </w:r>
    </w:p>
    <w:p w:rsidR="00000000" w:rsidDel="00000000" w:rsidP="00000000" w:rsidRDefault="00000000" w:rsidRPr="00000000" w14:paraId="00000093">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El atomismo epicúreo y la doctrina del </w:t>
      </w:r>
      <w:r w:rsidDel="00000000" w:rsidR="00000000" w:rsidRPr="00000000">
        <w:rPr>
          <w:rFonts w:ascii="Arial" w:cs="Arial" w:eastAsia="Arial" w:hAnsi="Arial"/>
          <w:b w:val="0"/>
          <w:i w:val="1"/>
          <w:sz w:val="24"/>
          <w:szCs w:val="24"/>
          <w:vertAlign w:val="baseline"/>
          <w:rtl w:val="0"/>
        </w:rPr>
        <w:t xml:space="preserve">clinamen</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14:paraId="00000094">
      <w:pPr>
        <w:numPr>
          <w:ilvl w:val="0"/>
          <w:numId w:val="2"/>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El escepticismo neo-académico y la disolución del “problema” del destino.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before="0" w:lineRule="auto"/>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Bibliografía básica: </w:t>
      </w:r>
    </w:p>
    <w:p w:rsidR="00000000" w:rsidDel="00000000" w:rsidP="00000000" w:rsidRDefault="00000000" w:rsidRPr="00000000" w14:paraId="00000097">
      <w:pPr>
        <w:spacing w:after="0" w:before="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resto de la bibliografía se indicará en clase.</w:t>
      </w:r>
    </w:p>
    <w:p w:rsidR="00000000" w:rsidDel="00000000" w:rsidP="00000000" w:rsidRDefault="00000000" w:rsidRPr="00000000" w14:paraId="00000098">
      <w:pPr>
        <w:spacing w:after="0" w:before="0" w:lineRule="auto"/>
        <w:rPr/>
      </w:pPr>
      <w:r w:rsidDel="00000000" w:rsidR="00000000" w:rsidRPr="00000000">
        <w:rPr>
          <w:rtl w:val="0"/>
        </w:rPr>
      </w:r>
    </w:p>
    <w:tbl>
      <w:tblPr>
        <w:tblStyle w:val="Table7"/>
        <w:tblW w:w="9960.0" w:type="dxa"/>
        <w:jc w:val="center"/>
        <w:tblBorders>
          <w:right w:color="d9d9d9" w:space="0" w:sz="4" w:val="single"/>
          <w:insideV w:color="d9d9d9" w:space="0" w:sz="4" w:val="single"/>
        </w:tblBorders>
        <w:tblLayout w:type="fixed"/>
        <w:tblLook w:val="0000"/>
      </w:tblPr>
      <w:tblGrid>
        <w:gridCol w:w="359"/>
        <w:gridCol w:w="9601"/>
        <w:tblGridChange w:id="0">
          <w:tblGrid>
            <w:gridCol w:w="359"/>
            <w:gridCol w:w="9601"/>
          </w:tblGrid>
        </w:tblGridChange>
      </w:tblGrid>
      <w:tr>
        <w:trPr>
          <w:cantSplit w:val="0"/>
          <w:trHeight w:val="200" w:hRule="atLeast"/>
          <w:tblHeader w:val="0"/>
        </w:trPr>
        <w:tc>
          <w:tcPr>
            <w:tcBorders>
              <w:right w:color="d9d9d9" w:space="0" w:sz="4" w:val="single"/>
            </w:tcBorders>
            <w:shd w:fill="auto" w:val="clear"/>
          </w:tcPr>
          <w:p w:rsidR="00000000" w:rsidDel="00000000" w:rsidP="00000000" w:rsidRDefault="00000000" w:rsidRPr="00000000" w14:paraId="00000099">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Jonathan Barnes,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Aristotle. A very short introduction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OUP, 1982. [trad. cast.: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Aristóteles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Cátedra, 1999].</w:t>
            </w:r>
          </w:p>
        </w:tc>
      </w:tr>
      <w:tr>
        <w:trPr>
          <w:cantSplit w:val="0"/>
          <w:trHeight w:val="657" w:hRule="atLeast"/>
          <w:tblHeader w:val="0"/>
        </w:trPr>
        <w:tc>
          <w:tcPr>
            <w:tcBorders>
              <w:right w:color="d9d9d9" w:space="0" w:sz="4" w:val="single"/>
            </w:tcBorders>
            <w:shd w:fill="auto" w:val="clear"/>
          </w:tcPr>
          <w:p w:rsidR="00000000" w:rsidDel="00000000" w:rsidP="00000000" w:rsidRDefault="00000000" w:rsidRPr="00000000" w14:paraId="0000009B">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w:t>
            </w:r>
          </w:p>
        </w:tc>
        <w:tc>
          <w:tcPr>
            <w:tcBorders>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Monique Canto-Sperber</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Philosophie Grecque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PUF, 1998. [trad. cast.: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Filosofía griega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De Tales a Aristóteles, Buenos Aires, Editorial Docencia, 2000.]</w:t>
            </w:r>
          </w:p>
        </w:tc>
      </w:tr>
      <w:tr>
        <w:trPr>
          <w:cantSplit w:val="0"/>
          <w:trHeight w:val="346" w:hRule="atLeast"/>
          <w:tblHeader w:val="0"/>
        </w:trPr>
        <w:tc>
          <w:tcPr>
            <w:tcBorders>
              <w:right w:color="d9d9d9" w:space="0" w:sz="4" w:val="single"/>
            </w:tcBorders>
            <w:shd w:fill="auto"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Carlos García Gual (ed.),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w:t>
            </w:r>
            <w:r w:rsidDel="00000000" w:rsidR="00000000" w:rsidRPr="00000000">
              <w:rPr>
                <w:rFonts w:ascii="Arial" w:cs="Arial" w:eastAsia="Arial" w:hAnsi="Arial"/>
                <w:i w:val="1"/>
                <w:rtl w:val="0"/>
              </w:rPr>
              <w:t xml:space="preserve">Filosofía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Antigua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Enciclopedia Iberoamericana de Filosofía, Vol. 14, Trotta 2004 [1997</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rHeight w:val="697" w:hRule="atLeast"/>
          <w:tblHeader w:val="0"/>
        </w:trPr>
        <w:tc>
          <w:tcPr>
            <w:tcBorders>
              <w:right w:color="d9d9d9" w:space="0" w:sz="4" w:val="single"/>
            </w:tcBorders>
            <w:shd w:fill="auto" w:val="clear"/>
          </w:tcPr>
          <w:p w:rsidR="00000000" w:rsidDel="00000000" w:rsidP="00000000" w:rsidRDefault="00000000" w:rsidRPr="00000000" w14:paraId="0000009F">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G.S. Kirk, J.S. Raven y M. Schofield,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Filósofos Presocráticos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trad. cast. de J. García Fernández, Madrid, Gredos, 1987 (1ª ed. Cambridge, 1957; 2ª ed. rev., 1983).</w:t>
            </w:r>
          </w:p>
        </w:tc>
      </w:tr>
      <w:tr>
        <w:trPr>
          <w:cantSplit w:val="0"/>
          <w:trHeight w:val="446" w:hRule="atLeast"/>
          <w:tblHeader w:val="0"/>
        </w:trPr>
        <w:tc>
          <w:tcPr>
            <w:tcBorders>
              <w:right w:color="d9d9d9" w:space="0" w:sz="4" w:val="single"/>
            </w:tcBorders>
            <w:shd w:fill="auto"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Anthony Long (ed.),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Cambridge Companion to Early Greek Philosophy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CUP 1999.</w:t>
            </w:r>
          </w:p>
        </w:tc>
      </w:tr>
      <w:tr>
        <w:trPr>
          <w:cantSplit w:val="0"/>
          <w:tblHeader w:val="0"/>
        </w:trPr>
        <w:tc>
          <w:tcPr>
            <w:tcBorders>
              <w:right w:color="d9d9d9" w:space="0" w:sz="4" w:val="single"/>
            </w:tcBorders>
            <w:shd w:fill="auto" w:val="clear"/>
          </w:tcPr>
          <w:p w:rsidR="00000000" w:rsidDel="00000000" w:rsidP="00000000" w:rsidRDefault="00000000" w:rsidRPr="00000000" w14:paraId="000000A3">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Anthony Long,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Hellenistic Philosophy: Stoics, Epicureans, Sceptics,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California Press, 1986 [1974] [trad. cast.: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filosofía helenística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trad. cast. P. Jordán de Urries, Madrid, Alianza Editorial 2004).</w:t>
            </w:r>
          </w:p>
        </w:tc>
      </w:tr>
      <w:tr>
        <w:trPr>
          <w:cantSplit w:val="0"/>
          <w:tblHeader w:val="0"/>
        </w:trPr>
        <w:tc>
          <w:tcPr>
            <w:tcBorders>
              <w:right w:color="d9d9d9" w:space="0" w:sz="4" w:val="single"/>
            </w:tcBorders>
            <w:shd w:fill="auto" w:val="clear"/>
          </w:tcPr>
          <w:p w:rsidR="00000000" w:rsidDel="00000000" w:rsidP="00000000" w:rsidRDefault="00000000" w:rsidRPr="00000000" w14:paraId="000000A5">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G.M.A. Grube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pensamiento de Platón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trad. cast. T. Calvo, Gredos, 1987 [1ª ed. 1970].</w:t>
            </w:r>
          </w:p>
        </w:tc>
      </w:tr>
      <w:tr>
        <w:trPr>
          <w:cantSplit w:val="0"/>
          <w:trHeight w:val="410" w:hRule="atLeast"/>
          <w:tblHeader w:val="0"/>
        </w:trPr>
        <w:tc>
          <w:tcPr>
            <w:tcBorders>
              <w:top w:color="d9d9d9" w:space="0" w:sz="4" w:val="single"/>
              <w:left w:color="d9d9d9" w:space="0" w:sz="4" w:val="single"/>
              <w:bottom w:color="d9d9d9" w:space="0" w:sz="4" w:val="single"/>
            </w:tcBorders>
            <w:shd w:fill="auto"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p>
        </w:tc>
        <w:tc>
          <w:tcPr>
            <w:tcBorders>
              <w:top w:color="d9d9d9" w:space="0" w:sz="4" w:val="single"/>
              <w:bottom w:color="d9d9d9" w:space="0" w:sz="4" w:val="single"/>
              <w:right w:color="d9d9d9" w:space="0" w:sz="4" w:val="single"/>
            </w:tcBorders>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Pierre Pellegrin,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Dictionnaire Aristote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Ellipses, 2007.</w:t>
            </w:r>
          </w:p>
        </w:tc>
      </w:tr>
      <w:tr>
        <w:trPr>
          <w:cantSplit w:val="0"/>
          <w:tblHeader w:val="0"/>
        </w:trPr>
        <w:tc>
          <w:tcPr>
            <w:tcBorders>
              <w:right w:color="d9d9d9" w:space="0" w:sz="4" w:val="single"/>
            </w:tcBorders>
            <w:shd w:fill="auto" w:val="clear"/>
          </w:tcPr>
          <w:p w:rsidR="00000000" w:rsidDel="00000000" w:rsidP="00000000" w:rsidRDefault="00000000" w:rsidRPr="00000000" w14:paraId="000000A9">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Anthony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Preus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Historical Dictionary of Ancient Greek Philosophy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2ª ed., Rowman &amp; Littlefield, 2015.</w:t>
            </w:r>
          </w:p>
        </w:tc>
      </w:tr>
      <w:tr>
        <w:trPr>
          <w:cantSplit w:val="0"/>
          <w:tblHeader w:val="0"/>
        </w:trPr>
        <w:tc>
          <w:tcPr>
            <w:tcBorders>
              <w:right w:color="d9d9d9" w:space="0" w:sz="4" w:val="single"/>
            </w:tcBorders>
            <w:shd w:fill="auto" w:val="clear"/>
          </w:tcPr>
          <w:p w:rsidR="00000000" w:rsidDel="00000000" w:rsidP="00000000" w:rsidRDefault="00000000" w:rsidRPr="00000000" w14:paraId="000000AB">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Sedley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introduction to Plato's Theory of Forms”,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Royal Institute of Philosophy Supplement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78, 2016, pp. 3-22. </w:t>
            </w:r>
          </w:p>
        </w:tc>
      </w:tr>
    </w:tbl>
    <w:p w:rsidR="00000000" w:rsidDel="00000000" w:rsidP="00000000" w:rsidRDefault="00000000" w:rsidRPr="00000000" w14:paraId="000000AD">
      <w:pPr>
        <w:spacing w:after="0" w:before="0" w:lineRule="auto"/>
        <w:rPr/>
      </w:pPr>
      <w:r w:rsidDel="00000000" w:rsidR="00000000" w:rsidRPr="00000000">
        <w:rPr>
          <w:rtl w:val="0"/>
        </w:rPr>
      </w:r>
    </w:p>
    <w:p w:rsidR="00000000" w:rsidDel="00000000" w:rsidP="00000000" w:rsidRDefault="00000000" w:rsidRPr="00000000" w14:paraId="000000AE">
      <w:pPr>
        <w:spacing w:after="0" w:before="0" w:lineRule="auto"/>
        <w:rPr/>
      </w:pPr>
      <w:r w:rsidDel="00000000" w:rsidR="00000000" w:rsidRPr="00000000">
        <w:rPr>
          <w:rtl w:val="0"/>
        </w:rPr>
      </w:r>
    </w:p>
    <w:p w:rsidR="00000000" w:rsidDel="00000000" w:rsidP="00000000" w:rsidRDefault="00000000" w:rsidRPr="00000000" w14:paraId="000000AF">
      <w:pPr>
        <w:spacing w:after="0" w:before="0" w:lineRule="auto"/>
        <w:rPr/>
      </w:pPr>
      <w:r w:rsidDel="00000000" w:rsidR="00000000" w:rsidRPr="00000000">
        <w:rPr>
          <w:rtl w:val="0"/>
        </w:rPr>
      </w:r>
    </w:p>
    <w:p w:rsidR="00000000" w:rsidDel="00000000" w:rsidP="00000000" w:rsidRDefault="00000000" w:rsidRPr="00000000" w14:paraId="000000B0">
      <w:pPr>
        <w:spacing w:after="0" w:before="0" w:lineRule="auto"/>
        <w:jc w:val="right"/>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Año 2022</w:t>
      </w:r>
    </w:p>
    <w:sectPr>
      <w:pgSz w:h="15840" w:w="12240" w:orient="portrait"/>
      <w:pgMar w:bottom="1134" w:top="83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