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Facultad de Humanidades y Ciencias de la Educación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76835</wp:posOffset>
            </wp:positionV>
            <wp:extent cx="1457960" cy="156019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560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Carrera: Licenciatura en Filosofía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Unidad curricular: Historia y Filosofía de la Ciencia 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Área Temática: Historia y Filosofía de la Ciencia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Semestre: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Impar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unidad curricular corresponde al primer semestre de la carrera según trayectoria sugerida por el plan de estudios: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113.0" w:type="dxa"/>
        <w:tblBorders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475"/>
        <w:gridCol w:w="1965"/>
        <w:gridCol w:w="2730"/>
        <w:gridCol w:w="2820"/>
        <w:tblGridChange w:id="0">
          <w:tblGrid>
            <w:gridCol w:w="2475"/>
            <w:gridCol w:w="1965"/>
            <w:gridCol w:w="2730"/>
            <w:gridCol w:w="282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Departamento/Sección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Profesora Adjunta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María Laura Martínez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Historia y Filosofía de la Ciencia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Encargado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Profesora Adjunta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María Laura Martínez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Historia y Filosofía de la Ciencia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Otros participantes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Asistente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Juan Queijo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Historia y Filosofía de la Ciencia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 total de Créditos corresponde a:</w:t>
      </w:r>
    </w:p>
    <w:tbl>
      <w:tblPr>
        <w:tblStyle w:val="Table2"/>
        <w:tblW w:w="6930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074"/>
        <w:gridCol w:w="3856"/>
        <w:tblGridChange w:id="0">
          <w:tblGrid>
            <w:gridCol w:w="3074"/>
            <w:gridCol w:w="38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horaria presencial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64 horas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Trabajos domiciliarios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cuestionarios, glosarios, controles de lectura)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Plataforma EVA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(videos grabados, cuestionarios, glosarios, controles de lectura, tareas)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Trabajos de campo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Monografía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Otros (describir)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DE CRÉDITOS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14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57"/>
        <w:gridCol w:w="5057"/>
        <w:tblGridChange w:id="0">
          <w:tblGrid>
            <w:gridCol w:w="5057"/>
            <w:gridCol w:w="50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Permite exoneración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Modalidad de dictado: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86"/>
        <w:gridCol w:w="4986"/>
        <w:tblGridChange w:id="0">
          <w:tblGrid>
            <w:gridCol w:w="4986"/>
            <w:gridCol w:w="4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Íntegramente 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Íntegramente 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Mixto (aclarar cantidad de instancias presenciales por mes)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Propuesta metodológica del curso: </w:t>
      </w:r>
      <w:r w:rsidDel="00000000" w:rsidR="00000000" w:rsidRPr="00000000">
        <w:rPr>
          <w:rFonts w:ascii="Arial" w:cs="Arial" w:eastAsia="Arial" w:hAnsi="Arial"/>
          <w:rtl w:val="0"/>
        </w:rPr>
        <w:t xml:space="preserve">(Deje la opción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5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088"/>
        <w:gridCol w:w="5037"/>
        <w:tblGridChange w:id="0">
          <w:tblGrid>
            <w:gridCol w:w="4088"/>
            <w:gridCol w:w="5037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Teórico – asistencia libre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470"/>
        <w:gridCol w:w="1064"/>
        <w:gridCol w:w="5071"/>
        <w:tblGridChange w:id="0">
          <w:tblGrid>
            <w:gridCol w:w="4470"/>
            <w:gridCol w:w="1064"/>
            <w:gridCol w:w="5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Unidad curricular ofertada como electiva para otros servicios universitarios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Cupos, servicios y condiciones: sin límite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Forma de evaluación y Modalidad: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Modalidad presencial.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obtención del derecho a aprobar la unidad curricular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requerirá una calificación final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(3, R.R.R) o superior para el conjunto de las actividades de evaluación realizadas durante el curso (parciales y otras actividades en la plataforma EVA como por ejemplo: tareas, cuestionarios, controles de lectura, etc). No se podrá tener menos de Aceptable (3) en ninguna de dichas actividades.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calificación final inferior a Aceptable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conducirá a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repetición del 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aprobación directa de la unidad curricular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requerirá una calificación final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(6, B.B.B.) o superior para el conjunto de las actividades de evaluación realizadas durante el curso (parciales y otras actividades en la plataforma EVA como: tareas, cuestionarios, controles de lectura, etc). No se podrá tener menos de Aceptable (3) en ninguna de dichas actividades.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que el estudiante no alcanzare la calificación mínima de Aceptable (3) en una sola de las evaluaciones durante el curso -cualquiera que esta evaluación fuere- ya sea para la obtención del derecho a aprobar o para la aprobación directa, tendrá derecho a la realización de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prueba de recuperación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sustituirá a la referida instancia de evaluación.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parciales se realizarán en modalidad presencial, garantizando, por condiciones excepcionales, la realización de los mismos por otra vía.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que el estudiante que obtuvo el derecho a aprobar la unidad curricular no lograra la aprobación directa, podrá rendir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evaluación final o examen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la que deberá alcanzar una calificación mínima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Podrá rendirse un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examen libre</w:t>
      </w:r>
      <w:r w:rsidDel="00000000" w:rsidR="00000000" w:rsidRPr="00000000">
        <w:rPr>
          <w:rFonts w:ascii="Arial" w:cs="Arial" w:eastAsia="Arial" w:hAnsi="Arial"/>
          <w:rtl w:val="0"/>
        </w:rPr>
        <w:t xml:space="preserve">, previa inscripción al mismo, el cual versará sobre la totalidad del Programa del último curso impartido finalizado. Para su aprobación se deberá obtener una calificación mínima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Aceptable</w:t>
      </w:r>
      <w:r w:rsidDel="00000000" w:rsidR="00000000" w:rsidRPr="00000000">
        <w:rPr>
          <w:rFonts w:ascii="Arial" w:cs="Arial" w:eastAsia="Arial" w:hAnsi="Arial"/>
          <w:rtl w:val="0"/>
        </w:rPr>
        <w:t xml:space="preserve"> (3).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Conocimientos previos requeridos/recomendables (si corresponde):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No corresponde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Objetivos: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trabajo en filosofía de la ciencia requiere en forma imprescindible un conocimiento de su historia. Por ello, el programa de la unidad curricular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Historia y Filosofía de la Ciencia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analiza los principales cambios en las unidades de análisis ocurridos en la centuria pasada y el comienzo de la actual. Partiendo del enfoque del Círculo de Viena, da cuenta de distintos intentos de superación del mismo en el marco de las tradiciones analítica y continental. A continuación hace énfasis en la nueva configuración en las relaciones entre historia y filosofía de la ciencia a partir de la segunda mitad del siglo pasado y culmina reflexionando acerca de algunas de las propuestas más recientes en el área.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Contenidos: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Unidad 1 – Empirismo lógico del Círculo de Viena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1.1.</w:t>
        <w:tab/>
        <w:t xml:space="preserve">Antecedentes y contexto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1.2.</w:t>
        <w:tab/>
        <w:t xml:space="preserve">Tesis fundamentales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1.3.</w:t>
        <w:tab/>
        <w:t xml:space="preserve">Historia de la ciencia anacrónica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2 – Intentos de superación del positivismo vienés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2.1.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Gaston Bachelard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2.1.1. ¿Anti-positivista radical o positivista francés?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2.1.2. La estructura histórica del conocimiento científico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2.2.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Karl Popper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2.2.1.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¿Una propuesta divergente o disidente?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2.2.2. Metodología para las ciencias naturales y sociales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Unidad 3 – Nuevas reflexiones histórico-filosóficas sobre la ciencia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3.1.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 Feyerabend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3.1.1. Tesis empiristas. Crítica y reivindicación del empirismo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3.1.2. Tesis humanistas. El lugar de la ciencia en la sociedad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3.2.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 Kuhn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3.2.1. Antecedentes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3.2.1.1 Ludwick Fleck: la génesis de los hechos científicos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3.2.1.2. Norwood Hanson: patrones de descubrimiento científico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3.2.1.3. Alexandre Koyré: la historia de la ciencia a través de la historia de las            ideas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3.2.2. Historia de la ciencia diacrónica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3.2.3. Conceptos fundamentales de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3.2.4. Kuhn después de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4 – Historia y Filosofía de la ciencia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4.1.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Ian Hacking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4.1.1. Estilos de pensamiento &amp; acción científicos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4.1.2. Reivindicación de la práctica científica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4.1.3. Ciencias humanas. Construir personas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4.2.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Epistemología Histórica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4.2.1.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Una mirada panorámica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Bibliografía básica: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resto de la bibliografía se indicará en clase.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center"/>
        <w:tblBorders>
          <w:right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359"/>
        <w:gridCol w:w="9601"/>
        <w:tblGridChange w:id="0">
          <w:tblGrid>
            <w:gridCol w:w="359"/>
            <w:gridCol w:w="960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Ayer, A.J. (1993).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El positivismo lógico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México: FCE.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Bachelard, Gaston (1972).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El compromiso racionalista.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Buenos Aires: Siglo XXI. /1973/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Feest, Uljana.; Sturm, Thomas (2011). What (good) is historical epistemology? Editor’s introduction.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Erkenntnis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75, pp. 285-302.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Feyerabend, Paul (1986).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Tratado contra el método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Madrid: Tecnos. /1975/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Fleck, Ludwik (1986).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génesis y el desarrollo de un hecho científico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Madrid: Alianza. /1935/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Hacking, Ian (1996).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Representar e intervenir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México: Paidós-UNAM. /1983/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Hacking, Ian (2001).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¿La construcción social de qué?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Barcelona: Paidós. /1999/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Kuhn, Thomas (1986).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estructura de las revoluciones científicas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México: FCE.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/1962/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Kuhn, Thomas (2002).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camino recorrido desde La Estructura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en J. Conant y 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Haugeland (comp.). Barcelona: Paidós.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Popper, Karl (1985).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La lógica de la investigación científica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Madrid: Tecnos. /1934/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right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Año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83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